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AC" w:rsidRDefault="00430D78">
      <w:r>
        <w:t>Van Zandt County ESD No. 4 adopted a tax rate that will raise more taxes for Maintenance and Operations than last year’s tax rate.  The tax rate will effectively be raised by 23.95 percent and will raise taxes for maintenance and operations on a $100,000 home by approximately $33.53.</w:t>
      </w:r>
      <w:bookmarkStart w:id="0" w:name="_GoBack"/>
      <w:bookmarkEnd w:id="0"/>
    </w:p>
    <w:sectPr w:rsidR="00976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78"/>
    <w:rsid w:val="00430D78"/>
    <w:rsid w:val="0097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BF1D5-5C90-4AC3-BB33-5AA51AE1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VZESD 4</dc:creator>
  <cp:keywords/>
  <dc:description/>
  <cp:lastModifiedBy>VZESD 4</cp:lastModifiedBy>
  <cp:revision>1</cp:revision>
  <dcterms:created xsi:type="dcterms:W3CDTF">2023-09-21T00:08:00Z</dcterms:created>
  <dcterms:modified xsi:type="dcterms:W3CDTF">2023-09-21T00:12:00Z</dcterms:modified>
</cp:coreProperties>
</file>