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E9BD" w14:textId="77777777" w:rsidR="00937A2E" w:rsidRPr="003767B9" w:rsidRDefault="00937A2E" w:rsidP="003767B9">
      <w:pPr>
        <w:jc w:val="center"/>
        <w:rPr>
          <w:rFonts w:cs="Arial"/>
          <w:b/>
          <w:bCs/>
          <w:sz w:val="22"/>
          <w:szCs w:val="22"/>
        </w:rPr>
      </w:pPr>
      <w:r w:rsidRPr="003767B9">
        <w:rPr>
          <w:rFonts w:cs="Arial"/>
          <w:b/>
          <w:bCs/>
          <w:sz w:val="22"/>
          <w:szCs w:val="22"/>
        </w:rPr>
        <w:t>AVISO COMBINADO DE DETERMINACIÓN DE AUSENCIA DE IMPACTO SIGNIFICATIVO</w:t>
      </w:r>
    </w:p>
    <w:p w14:paraId="0D48A7C4" w14:textId="77777777" w:rsidR="00937A2E" w:rsidRPr="003767B9" w:rsidRDefault="00937A2E" w:rsidP="003767B9">
      <w:pPr>
        <w:jc w:val="center"/>
        <w:rPr>
          <w:rFonts w:cs="Arial"/>
          <w:b/>
          <w:bCs/>
          <w:sz w:val="22"/>
          <w:szCs w:val="22"/>
        </w:rPr>
      </w:pPr>
      <w:r w:rsidRPr="003767B9">
        <w:rPr>
          <w:rFonts w:cs="Arial"/>
          <w:b/>
          <w:bCs/>
          <w:sz w:val="22"/>
          <w:szCs w:val="22"/>
        </w:rPr>
        <w:t>y AVISO DE INTENCIÓN DE SOLICITAR LA LIBERACIÓN DE FONDOS</w:t>
      </w:r>
    </w:p>
    <w:p w14:paraId="3758D535" w14:textId="77777777" w:rsidR="00937A2E" w:rsidRPr="003767B9" w:rsidRDefault="00937A2E" w:rsidP="003767B9">
      <w:pPr>
        <w:jc w:val="center"/>
        <w:rPr>
          <w:rFonts w:cs="Arial"/>
          <w:b/>
          <w:bCs/>
          <w:sz w:val="22"/>
          <w:szCs w:val="22"/>
        </w:rPr>
      </w:pPr>
      <w:r w:rsidRPr="003767B9">
        <w:rPr>
          <w:rFonts w:cs="Arial"/>
          <w:b/>
          <w:bCs/>
          <w:sz w:val="22"/>
          <w:szCs w:val="22"/>
        </w:rPr>
        <w:t>y AVISO FINAL Y EXPLICACIÓN PÚBLICA DE UNA ACTIVIDAD PROPUESTA EN UNA</w:t>
      </w:r>
    </w:p>
    <w:p w14:paraId="65F82546" w14:textId="77777777" w:rsidR="00937A2E" w:rsidRPr="003767B9" w:rsidRDefault="00937A2E" w:rsidP="003767B9">
      <w:pPr>
        <w:jc w:val="center"/>
        <w:rPr>
          <w:rFonts w:cs="Arial"/>
          <w:b/>
          <w:bCs/>
          <w:sz w:val="22"/>
          <w:szCs w:val="22"/>
        </w:rPr>
      </w:pPr>
      <w:r w:rsidRPr="003767B9">
        <w:rPr>
          <w:rFonts w:cs="Arial"/>
          <w:b/>
          <w:bCs/>
          <w:sz w:val="22"/>
          <w:szCs w:val="22"/>
        </w:rPr>
        <w:t>LANURA DE INUNDACIÓN Y HUMEDALES DESIGNADOS SEGÚN LA NORMA FEDERAL DE GESTIÓN DEL RIESGO DE INUNDACIONES</w:t>
      </w:r>
    </w:p>
    <w:p w14:paraId="7BBAD228" w14:textId="77777777" w:rsidR="00937A2E" w:rsidRPr="003767B9" w:rsidRDefault="00937A2E" w:rsidP="00937A2E">
      <w:pPr>
        <w:rPr>
          <w:rFonts w:cs="Arial"/>
          <w:sz w:val="22"/>
          <w:szCs w:val="22"/>
        </w:rPr>
      </w:pPr>
    </w:p>
    <w:p w14:paraId="491D3FAB" w14:textId="34E7B645" w:rsidR="00937A2E" w:rsidRDefault="00937A2E" w:rsidP="00937A2E">
      <w:pPr>
        <w:rPr>
          <w:rFonts w:cs="Arial"/>
          <w:sz w:val="22"/>
          <w:szCs w:val="22"/>
        </w:rPr>
      </w:pPr>
      <w:r w:rsidRPr="003767B9">
        <w:rPr>
          <w:rFonts w:cs="Arial"/>
          <w:sz w:val="22"/>
          <w:szCs w:val="22"/>
        </w:rPr>
        <w:t>1</w:t>
      </w:r>
      <w:r w:rsidR="002234E5">
        <w:rPr>
          <w:rFonts w:cs="Arial"/>
          <w:sz w:val="22"/>
          <w:szCs w:val="22"/>
        </w:rPr>
        <w:t>5</w:t>
      </w:r>
      <w:r w:rsidRPr="003767B9">
        <w:rPr>
          <w:rFonts w:cs="Arial"/>
          <w:sz w:val="22"/>
          <w:szCs w:val="22"/>
        </w:rPr>
        <w:t xml:space="preserve"> de mayo de 2026</w:t>
      </w:r>
    </w:p>
    <w:p w14:paraId="778BDFAB" w14:textId="77777777" w:rsidR="003767B9" w:rsidRPr="003767B9" w:rsidRDefault="003767B9" w:rsidP="00937A2E">
      <w:pPr>
        <w:rPr>
          <w:rFonts w:cs="Arial"/>
          <w:sz w:val="22"/>
          <w:szCs w:val="22"/>
        </w:rPr>
      </w:pPr>
    </w:p>
    <w:p w14:paraId="022055C5" w14:textId="77777777" w:rsidR="00937A2E" w:rsidRPr="003767B9" w:rsidRDefault="00937A2E" w:rsidP="003767B9">
      <w:pPr>
        <w:jc w:val="center"/>
        <w:rPr>
          <w:rFonts w:cs="Arial"/>
          <w:b/>
          <w:bCs/>
          <w:sz w:val="22"/>
          <w:szCs w:val="22"/>
        </w:rPr>
      </w:pPr>
      <w:r w:rsidRPr="003767B9">
        <w:rPr>
          <w:rFonts w:cs="Arial"/>
          <w:b/>
          <w:bCs/>
          <w:sz w:val="22"/>
          <w:szCs w:val="22"/>
        </w:rPr>
        <w:t>Condado de Lee, 200 S. Main Street, Sala 107, Giddings, TX 78942</w:t>
      </w:r>
    </w:p>
    <w:p w14:paraId="2D872775" w14:textId="77777777" w:rsidR="00937A2E" w:rsidRPr="003767B9" w:rsidRDefault="00937A2E" w:rsidP="003767B9">
      <w:pPr>
        <w:jc w:val="center"/>
        <w:rPr>
          <w:rFonts w:cs="Arial"/>
          <w:b/>
          <w:bCs/>
          <w:sz w:val="22"/>
          <w:szCs w:val="22"/>
        </w:rPr>
      </w:pPr>
      <w:r w:rsidRPr="003767B9">
        <w:rPr>
          <w:rFonts w:cs="Arial"/>
          <w:b/>
          <w:bCs/>
          <w:sz w:val="22"/>
          <w:szCs w:val="22"/>
        </w:rPr>
        <w:t>(979) 542-3178</w:t>
      </w:r>
    </w:p>
    <w:p w14:paraId="35017286" w14:textId="77777777" w:rsidR="00937A2E" w:rsidRPr="003767B9" w:rsidRDefault="00937A2E" w:rsidP="00937A2E">
      <w:pPr>
        <w:rPr>
          <w:rFonts w:cs="Arial"/>
          <w:sz w:val="22"/>
          <w:szCs w:val="22"/>
        </w:rPr>
      </w:pPr>
    </w:p>
    <w:p w14:paraId="13933FF2" w14:textId="77777777" w:rsidR="00937A2E" w:rsidRPr="003767B9" w:rsidRDefault="00937A2E" w:rsidP="00937A2E">
      <w:pPr>
        <w:rPr>
          <w:rFonts w:cs="Arial"/>
          <w:sz w:val="22"/>
          <w:szCs w:val="22"/>
        </w:rPr>
      </w:pPr>
      <w:r w:rsidRPr="003767B9">
        <w:rPr>
          <w:rFonts w:cs="Arial"/>
          <w:sz w:val="22"/>
          <w:szCs w:val="22"/>
        </w:rPr>
        <w:t>Este aviso cumple con los tres requisitos de notificación procesal, separados pero relacionados, que el Condado de Lee debe cumplir.</w:t>
      </w:r>
    </w:p>
    <w:p w14:paraId="1308E269" w14:textId="77777777" w:rsidR="00937A2E" w:rsidRPr="003767B9" w:rsidRDefault="00937A2E" w:rsidP="00937A2E">
      <w:pPr>
        <w:rPr>
          <w:rFonts w:cs="Arial"/>
          <w:sz w:val="22"/>
          <w:szCs w:val="22"/>
        </w:rPr>
      </w:pPr>
    </w:p>
    <w:p w14:paraId="56E29229" w14:textId="77777777" w:rsidR="00937A2E" w:rsidRPr="003767B9" w:rsidRDefault="00937A2E" w:rsidP="00937A2E">
      <w:pPr>
        <w:rPr>
          <w:rFonts w:cs="Arial"/>
          <w:sz w:val="22"/>
          <w:szCs w:val="22"/>
        </w:rPr>
      </w:pPr>
      <w:r w:rsidRPr="003767B9">
        <w:rPr>
          <w:rFonts w:cs="Arial"/>
          <w:sz w:val="22"/>
          <w:szCs w:val="22"/>
        </w:rPr>
        <w:t>Para: Todas las agencias, grupos e individuos interesados</w:t>
      </w:r>
    </w:p>
    <w:p w14:paraId="4D0E1BB1" w14:textId="77777777" w:rsidR="00937A2E" w:rsidRPr="003767B9" w:rsidRDefault="00937A2E" w:rsidP="00937A2E">
      <w:pPr>
        <w:rPr>
          <w:rFonts w:cs="Arial"/>
          <w:sz w:val="22"/>
          <w:szCs w:val="22"/>
        </w:rPr>
      </w:pPr>
    </w:p>
    <w:p w14:paraId="31492540" w14:textId="77777777" w:rsidR="00937A2E" w:rsidRPr="003767B9" w:rsidRDefault="00937A2E" w:rsidP="00937A2E">
      <w:pPr>
        <w:rPr>
          <w:rFonts w:cs="Arial"/>
          <w:b/>
          <w:bCs/>
          <w:sz w:val="22"/>
          <w:szCs w:val="22"/>
        </w:rPr>
      </w:pPr>
      <w:r w:rsidRPr="003767B9">
        <w:rPr>
          <w:rFonts w:cs="Arial"/>
          <w:b/>
          <w:bCs/>
          <w:sz w:val="22"/>
          <w:szCs w:val="22"/>
        </w:rPr>
        <w:t>SOLICITUD DE DESEMBOLSO DE FONDOS</w:t>
      </w:r>
    </w:p>
    <w:p w14:paraId="5E26DAD2" w14:textId="46618A79" w:rsidR="00937A2E" w:rsidRPr="003767B9" w:rsidRDefault="00937A2E" w:rsidP="00937A2E">
      <w:pPr>
        <w:rPr>
          <w:rFonts w:cs="Arial"/>
          <w:sz w:val="22"/>
          <w:szCs w:val="22"/>
        </w:rPr>
      </w:pPr>
      <w:r w:rsidRPr="003767B9">
        <w:rPr>
          <w:rFonts w:cs="Arial"/>
          <w:sz w:val="22"/>
          <w:szCs w:val="22"/>
        </w:rPr>
        <w:t xml:space="preserve">Aproximadamente el </w:t>
      </w:r>
      <w:r w:rsidR="002234E5">
        <w:rPr>
          <w:rFonts w:cs="Arial"/>
          <w:sz w:val="22"/>
          <w:szCs w:val="22"/>
        </w:rPr>
        <w:t>2</w:t>
      </w:r>
      <w:r w:rsidRPr="003767B9">
        <w:rPr>
          <w:rFonts w:cs="Arial"/>
          <w:sz w:val="22"/>
          <w:szCs w:val="22"/>
        </w:rPr>
        <w:t xml:space="preserve"> de junio de 2026, el Condado de Lee (el Condado) presentará una solicitud a la Oficina General de Tierras de Texas (GLO) para el desembolso de fondos del Programa de Subvenciones para el Desarrollo Comunitario (CDBG-MIT), asignados conforme a la Ley de Asignaciones Suplementarias para Requisitos de Ayuda en Casos de Desastre de 2018 (Ley Pública 115-123), enmendada, para llevar a cabo un proyecto denominado Mejoras de Calles y Drenaje/Inundaciones, con el fin de mejorar el drenaje, reducir el riesgo de inundaciones y mejorar la superficie de las calles, bajo el Contrato GLO n.° 24-065-169-F084.</w:t>
      </w:r>
    </w:p>
    <w:p w14:paraId="13A58A93" w14:textId="77777777" w:rsidR="00937A2E" w:rsidRPr="003767B9" w:rsidRDefault="00937A2E" w:rsidP="00937A2E">
      <w:pPr>
        <w:rPr>
          <w:rFonts w:cs="Arial"/>
          <w:sz w:val="22"/>
          <w:szCs w:val="22"/>
        </w:rPr>
      </w:pPr>
    </w:p>
    <w:p w14:paraId="50C1EC8A" w14:textId="77777777" w:rsidR="00937A2E" w:rsidRPr="003767B9" w:rsidRDefault="00937A2E" w:rsidP="00937A2E">
      <w:pPr>
        <w:rPr>
          <w:rFonts w:cs="Arial"/>
          <w:sz w:val="22"/>
          <w:szCs w:val="22"/>
        </w:rPr>
      </w:pPr>
      <w:r w:rsidRPr="003767B9">
        <w:rPr>
          <w:rFonts w:cs="Arial"/>
          <w:sz w:val="22"/>
          <w:szCs w:val="22"/>
          <w:u w:val="single"/>
        </w:rPr>
        <w:t>Título del proyecto</w:t>
      </w:r>
      <w:r w:rsidRPr="003767B9">
        <w:rPr>
          <w:rFonts w:cs="Arial"/>
          <w:sz w:val="22"/>
          <w:szCs w:val="22"/>
        </w:rPr>
        <w:t>: Mejoras de Calles en el Condado de Lee</w:t>
      </w:r>
    </w:p>
    <w:p w14:paraId="3A9C3A62" w14:textId="77777777" w:rsidR="00937A2E" w:rsidRPr="003767B9" w:rsidRDefault="00937A2E" w:rsidP="00937A2E">
      <w:pPr>
        <w:rPr>
          <w:rFonts w:cs="Arial"/>
          <w:sz w:val="22"/>
          <w:szCs w:val="22"/>
        </w:rPr>
      </w:pPr>
      <w:r w:rsidRPr="003767B9">
        <w:rPr>
          <w:rFonts w:cs="Arial"/>
          <w:sz w:val="22"/>
          <w:szCs w:val="22"/>
          <w:u w:val="single"/>
        </w:rPr>
        <w:t>Descripción del proyecto</w:t>
      </w:r>
      <w:r w:rsidRPr="003767B9">
        <w:rPr>
          <w:rFonts w:cs="Arial"/>
          <w:sz w:val="22"/>
          <w:szCs w:val="22"/>
        </w:rPr>
        <w:t>: El subbeneficiario deberá retirar y reemplazar el pavimento y completar los elementos auxiliares correspondientes. La construcción se llevará a cabo en las siguientes ubicaciones:</w:t>
      </w:r>
    </w:p>
    <w:p w14:paraId="1B0E4A81" w14:textId="53168139" w:rsidR="00937A2E" w:rsidRPr="003767B9" w:rsidRDefault="00937A2E" w:rsidP="00937A2E">
      <w:pPr>
        <w:numPr>
          <w:ilvl w:val="0"/>
          <w:numId w:val="1"/>
        </w:numPr>
        <w:ind w:left="288" w:hanging="288"/>
        <w:rPr>
          <w:rFonts w:cs="Arial"/>
          <w:sz w:val="22"/>
          <w:szCs w:val="22"/>
        </w:rPr>
      </w:pPr>
      <w:r w:rsidRPr="003767B9">
        <w:rPr>
          <w:rFonts w:cs="Arial"/>
          <w:sz w:val="22"/>
          <w:szCs w:val="22"/>
        </w:rPr>
        <w:t>Calle Stewart, Desde la calle Knox hacia el sureste hasta la avenida Guy M. Bryan (30.35570, -96.82570), 886 pies lineales (LF);</w:t>
      </w:r>
    </w:p>
    <w:p w14:paraId="376521AD" w14:textId="2E36AB85" w:rsidR="00937A2E" w:rsidRPr="003767B9" w:rsidRDefault="00937A2E" w:rsidP="00937A2E">
      <w:pPr>
        <w:numPr>
          <w:ilvl w:val="0"/>
          <w:numId w:val="1"/>
        </w:numPr>
        <w:ind w:left="288" w:hanging="288"/>
        <w:rPr>
          <w:rFonts w:cs="Arial"/>
          <w:sz w:val="22"/>
          <w:szCs w:val="22"/>
        </w:rPr>
      </w:pPr>
      <w:r w:rsidRPr="003767B9">
        <w:rPr>
          <w:rFonts w:cs="Arial"/>
          <w:sz w:val="22"/>
          <w:szCs w:val="22"/>
        </w:rPr>
        <w:t>Calle Woods, Desde la calle Knox hacia el sureste hasta la avenida Guy M. Bryan (30.35493, -96.82636), 891 LF;</w:t>
      </w:r>
    </w:p>
    <w:p w14:paraId="7E542067" w14:textId="330D5A17" w:rsidR="00937A2E" w:rsidRPr="003767B9" w:rsidRDefault="00937A2E" w:rsidP="00937A2E">
      <w:pPr>
        <w:numPr>
          <w:ilvl w:val="0"/>
          <w:numId w:val="1"/>
        </w:numPr>
        <w:ind w:left="288" w:hanging="288"/>
        <w:rPr>
          <w:rFonts w:cs="Arial"/>
          <w:sz w:val="22"/>
          <w:szCs w:val="22"/>
        </w:rPr>
      </w:pPr>
      <w:r w:rsidRPr="003767B9">
        <w:rPr>
          <w:rFonts w:cs="Arial"/>
          <w:sz w:val="22"/>
          <w:szCs w:val="22"/>
        </w:rPr>
        <w:t>Calle Knox, Desde la calle Woods hacia el noreste hasta la calle Ramsey (30.35684, -96.82650), 1034 LF;</w:t>
      </w:r>
    </w:p>
    <w:p w14:paraId="76B9E99E" w14:textId="77777777" w:rsidR="00937A2E" w:rsidRPr="003767B9" w:rsidRDefault="00937A2E" w:rsidP="00937A2E">
      <w:pPr>
        <w:numPr>
          <w:ilvl w:val="0"/>
          <w:numId w:val="1"/>
        </w:numPr>
        <w:ind w:left="288" w:hanging="288"/>
        <w:rPr>
          <w:rFonts w:cs="Arial"/>
          <w:sz w:val="22"/>
          <w:szCs w:val="22"/>
        </w:rPr>
      </w:pPr>
      <w:r w:rsidRPr="003767B9">
        <w:rPr>
          <w:rFonts w:cs="Arial"/>
          <w:sz w:val="22"/>
          <w:szCs w:val="22"/>
        </w:rPr>
        <w:t xml:space="preserve">Avenida Guy M. Bryan, Desde la calle Woods hacia el noreste hasta la calle Ramsey (30.35535, </w:t>
      </w:r>
    </w:p>
    <w:p w14:paraId="5735E8CD" w14:textId="315A77FD" w:rsidR="00937A2E" w:rsidRPr="003767B9" w:rsidRDefault="00937A2E" w:rsidP="00937A2E">
      <w:pPr>
        <w:ind w:left="288"/>
        <w:rPr>
          <w:rFonts w:cs="Arial"/>
          <w:sz w:val="22"/>
          <w:szCs w:val="22"/>
        </w:rPr>
      </w:pPr>
      <w:r w:rsidRPr="003767B9">
        <w:rPr>
          <w:rFonts w:cs="Arial"/>
          <w:sz w:val="22"/>
          <w:szCs w:val="22"/>
        </w:rPr>
        <w:t>-96.82421), 1050 LF;</w:t>
      </w:r>
    </w:p>
    <w:p w14:paraId="534491EB" w14:textId="09F0CDC9" w:rsidR="00937A2E" w:rsidRPr="003767B9" w:rsidRDefault="00937A2E" w:rsidP="00937A2E">
      <w:pPr>
        <w:numPr>
          <w:ilvl w:val="0"/>
          <w:numId w:val="1"/>
        </w:numPr>
        <w:ind w:left="288" w:hanging="288"/>
        <w:rPr>
          <w:rFonts w:cs="Arial"/>
          <w:sz w:val="22"/>
          <w:szCs w:val="22"/>
        </w:rPr>
      </w:pPr>
      <w:r w:rsidRPr="003767B9">
        <w:rPr>
          <w:rFonts w:cs="Arial"/>
          <w:sz w:val="22"/>
          <w:szCs w:val="22"/>
        </w:rPr>
        <w:t>Avenida Stephen F. Austin, Desde la carretera del condado 425 hacia el noroeste hasta la avenida Stayton (30.35699, -96.82579), 1,480 pies lineales;</w:t>
      </w:r>
    </w:p>
    <w:p w14:paraId="4D896890" w14:textId="554441E4" w:rsidR="00937A2E" w:rsidRPr="003767B9" w:rsidRDefault="00937A2E" w:rsidP="00937A2E">
      <w:pPr>
        <w:numPr>
          <w:ilvl w:val="0"/>
          <w:numId w:val="1"/>
        </w:numPr>
        <w:ind w:left="288" w:hanging="288"/>
        <w:rPr>
          <w:rFonts w:cs="Arial"/>
          <w:sz w:val="22"/>
          <w:szCs w:val="22"/>
        </w:rPr>
      </w:pPr>
      <w:r w:rsidRPr="003767B9">
        <w:rPr>
          <w:rFonts w:cs="Arial"/>
          <w:sz w:val="22"/>
          <w:szCs w:val="22"/>
        </w:rPr>
        <w:t>Calle Bowers: Desde la carretera del condado 425 hacia el noroeste, luego hacia el suroeste hasta la calle Woods (30.35704, -96.82394,) 2,111 pies lineales;</w:t>
      </w:r>
    </w:p>
    <w:p w14:paraId="52E111F9" w14:textId="4E6DAD93" w:rsidR="00937A2E" w:rsidRPr="003767B9" w:rsidRDefault="00937A2E" w:rsidP="00937A2E">
      <w:pPr>
        <w:numPr>
          <w:ilvl w:val="0"/>
          <w:numId w:val="1"/>
        </w:numPr>
        <w:ind w:left="288" w:hanging="288"/>
        <w:rPr>
          <w:rFonts w:cs="Arial"/>
          <w:sz w:val="22"/>
          <w:szCs w:val="22"/>
        </w:rPr>
      </w:pPr>
      <w:r w:rsidRPr="003767B9">
        <w:rPr>
          <w:rFonts w:cs="Arial"/>
          <w:sz w:val="22"/>
          <w:szCs w:val="22"/>
        </w:rPr>
        <w:t>Calle Kocurek / Calle Cushing: Desde la carretera del condado 425 hacia el noroeste hasta la calle Cushing, luego hacia el suroeste hasta la calle Woods (30.35743, -96.82480), 2,035 pies lineales;</w:t>
      </w:r>
    </w:p>
    <w:p w14:paraId="4C60EE9F" w14:textId="77777777" w:rsidR="00937A2E" w:rsidRPr="003767B9" w:rsidRDefault="00937A2E" w:rsidP="00937A2E">
      <w:pPr>
        <w:numPr>
          <w:ilvl w:val="0"/>
          <w:numId w:val="1"/>
        </w:numPr>
        <w:ind w:left="288" w:hanging="288"/>
        <w:rPr>
          <w:rFonts w:cs="Arial"/>
          <w:sz w:val="22"/>
          <w:szCs w:val="22"/>
        </w:rPr>
      </w:pPr>
      <w:r w:rsidRPr="003767B9">
        <w:rPr>
          <w:rFonts w:cs="Arial"/>
          <w:sz w:val="22"/>
          <w:szCs w:val="22"/>
        </w:rPr>
        <w:t xml:space="preserve">Carretera del condado 424: Desde la calle Ramsey hacia el noreste 3,164 pies lineales (30.35965, </w:t>
      </w:r>
    </w:p>
    <w:p w14:paraId="5827636C" w14:textId="3DAF33C9" w:rsidR="00937A2E" w:rsidRPr="003767B9" w:rsidRDefault="00937A2E" w:rsidP="00937A2E">
      <w:pPr>
        <w:ind w:left="288"/>
        <w:rPr>
          <w:rFonts w:cs="Arial"/>
          <w:sz w:val="22"/>
          <w:szCs w:val="22"/>
        </w:rPr>
      </w:pPr>
      <w:r w:rsidRPr="003767B9">
        <w:rPr>
          <w:rFonts w:cs="Arial"/>
          <w:sz w:val="22"/>
          <w:szCs w:val="22"/>
        </w:rPr>
        <w:t>-96.81957), 3,164 pies lineales;</w:t>
      </w:r>
    </w:p>
    <w:p w14:paraId="7999765D" w14:textId="77777777" w:rsidR="00937A2E" w:rsidRPr="003767B9" w:rsidRDefault="00937A2E" w:rsidP="00937A2E">
      <w:pPr>
        <w:numPr>
          <w:ilvl w:val="0"/>
          <w:numId w:val="1"/>
        </w:numPr>
        <w:ind w:left="288" w:hanging="288"/>
        <w:rPr>
          <w:rFonts w:cs="Arial"/>
          <w:sz w:val="22"/>
          <w:szCs w:val="22"/>
        </w:rPr>
      </w:pPr>
      <w:r w:rsidRPr="003767B9">
        <w:rPr>
          <w:rFonts w:cs="Arial"/>
          <w:sz w:val="22"/>
          <w:szCs w:val="22"/>
        </w:rPr>
        <w:t>Calle Morgan: Desde la avenida Stephen F. Austin hacia el noreste hasta la calle Ramsey (30.35812,</w:t>
      </w:r>
    </w:p>
    <w:p w14:paraId="6B4EF213" w14:textId="7E9F1772" w:rsidR="00937A2E" w:rsidRPr="003767B9" w:rsidRDefault="00937A2E" w:rsidP="00937A2E">
      <w:pPr>
        <w:ind w:left="288"/>
        <w:rPr>
          <w:rFonts w:cs="Arial"/>
          <w:sz w:val="22"/>
          <w:szCs w:val="22"/>
        </w:rPr>
      </w:pPr>
      <w:r w:rsidRPr="003767B9">
        <w:rPr>
          <w:rFonts w:cs="Arial"/>
          <w:sz w:val="22"/>
          <w:szCs w:val="22"/>
        </w:rPr>
        <w:t>-96.82661), 336 pies lineales;</w:t>
      </w:r>
    </w:p>
    <w:p w14:paraId="7B5AB8D5" w14:textId="54054FEC" w:rsidR="00230CAD" w:rsidRPr="003767B9" w:rsidRDefault="00937A2E" w:rsidP="00937A2E">
      <w:pPr>
        <w:numPr>
          <w:ilvl w:val="0"/>
          <w:numId w:val="1"/>
        </w:numPr>
        <w:ind w:left="288" w:hanging="288"/>
        <w:rPr>
          <w:rFonts w:cs="Arial"/>
          <w:sz w:val="22"/>
          <w:szCs w:val="22"/>
        </w:rPr>
      </w:pPr>
      <w:r w:rsidRPr="003767B9">
        <w:rPr>
          <w:rFonts w:cs="Arial"/>
          <w:sz w:val="22"/>
          <w:szCs w:val="22"/>
        </w:rPr>
        <w:t>Avenida Stayton: Desde la carretera del condado 141 hacia el suroeste hasta la avenida Stephen F. Austin Avenida (30.35848, -96.82745), 256 pies lineales.</w:t>
      </w:r>
    </w:p>
    <w:p w14:paraId="77B0C22F" w14:textId="77777777" w:rsidR="00937A2E" w:rsidRPr="003767B9" w:rsidRDefault="00937A2E" w:rsidP="00937A2E">
      <w:pPr>
        <w:rPr>
          <w:rFonts w:cs="Arial"/>
          <w:sz w:val="22"/>
          <w:szCs w:val="22"/>
        </w:rPr>
      </w:pPr>
    </w:p>
    <w:p w14:paraId="103E1004" w14:textId="77777777" w:rsidR="00937A2E" w:rsidRPr="003767B9" w:rsidRDefault="00937A2E" w:rsidP="00937A2E">
      <w:pPr>
        <w:rPr>
          <w:rFonts w:cs="Arial"/>
          <w:sz w:val="22"/>
          <w:szCs w:val="22"/>
        </w:rPr>
      </w:pPr>
      <w:r w:rsidRPr="003767B9">
        <w:rPr>
          <w:rFonts w:cs="Arial"/>
          <w:sz w:val="22"/>
          <w:szCs w:val="22"/>
          <w:u w:val="single"/>
        </w:rPr>
        <w:t>Título del proyecto</w:t>
      </w:r>
      <w:r w:rsidRPr="003767B9">
        <w:rPr>
          <w:rFonts w:cs="Arial"/>
          <w:sz w:val="22"/>
          <w:szCs w:val="22"/>
        </w:rPr>
        <w:t>: Mejoras en las calles CR 426 y CR 429</w:t>
      </w:r>
    </w:p>
    <w:p w14:paraId="37F92AB7" w14:textId="77777777" w:rsidR="00937A2E" w:rsidRPr="003767B9" w:rsidRDefault="00937A2E" w:rsidP="00937A2E">
      <w:pPr>
        <w:rPr>
          <w:rFonts w:cs="Arial"/>
          <w:sz w:val="22"/>
          <w:szCs w:val="22"/>
        </w:rPr>
      </w:pPr>
      <w:r w:rsidRPr="003767B9">
        <w:rPr>
          <w:rFonts w:cs="Arial"/>
          <w:sz w:val="22"/>
          <w:szCs w:val="22"/>
          <w:u w:val="single"/>
        </w:rPr>
        <w:t>Descripción del proyecto</w:t>
      </w:r>
      <w:r w:rsidRPr="003767B9">
        <w:rPr>
          <w:rFonts w:cs="Arial"/>
          <w:sz w:val="22"/>
          <w:szCs w:val="22"/>
        </w:rPr>
        <w:t>: El subcontratista deberá retirar y reemplazar el pavimento y completar las instalaciones asociadas. La construcción se realizará en la siguiente ubicación:</w:t>
      </w:r>
    </w:p>
    <w:p w14:paraId="3484A81D" w14:textId="6F2FDBBA" w:rsidR="00937A2E" w:rsidRPr="003767B9" w:rsidRDefault="00937A2E" w:rsidP="00937A2E">
      <w:pPr>
        <w:rPr>
          <w:rFonts w:cs="Arial"/>
          <w:sz w:val="22"/>
          <w:szCs w:val="22"/>
        </w:rPr>
      </w:pPr>
      <w:r w:rsidRPr="003767B9">
        <w:rPr>
          <w:rFonts w:cs="Arial"/>
          <w:sz w:val="22"/>
          <w:szCs w:val="22"/>
        </w:rPr>
        <w:t>Carretera del Condado 426 y Carretera del Condado 429, Código postal 77853 Desde la intersección de la Carretera del Condado 424 y la Carretera del Condado 426 hacia el sureste hasta la Carretera del Condado 429, y luego hacia el sureste hasta la Carretera Privada 4291 (30.36482, -96.79963), 9,943 pies lineales (LF).</w:t>
      </w:r>
    </w:p>
    <w:p w14:paraId="60322026" w14:textId="77777777" w:rsidR="00937A2E" w:rsidRPr="003767B9" w:rsidRDefault="00937A2E" w:rsidP="00937A2E">
      <w:pPr>
        <w:rPr>
          <w:rFonts w:cs="Arial"/>
          <w:sz w:val="22"/>
          <w:szCs w:val="22"/>
        </w:rPr>
      </w:pPr>
    </w:p>
    <w:p w14:paraId="7E0833CF" w14:textId="77777777" w:rsidR="00937A2E" w:rsidRPr="003767B9" w:rsidRDefault="00937A2E" w:rsidP="00937A2E">
      <w:pPr>
        <w:rPr>
          <w:rFonts w:cs="Arial"/>
          <w:sz w:val="22"/>
          <w:szCs w:val="22"/>
        </w:rPr>
      </w:pPr>
      <w:r w:rsidRPr="003767B9">
        <w:rPr>
          <w:rFonts w:cs="Arial"/>
          <w:sz w:val="22"/>
          <w:szCs w:val="22"/>
          <w:u w:val="single"/>
        </w:rPr>
        <w:t>Título del proyecto</w:t>
      </w:r>
      <w:r w:rsidRPr="003767B9">
        <w:rPr>
          <w:rFonts w:cs="Arial"/>
          <w:sz w:val="22"/>
          <w:szCs w:val="22"/>
        </w:rPr>
        <w:t>: Mejoras de drenaje y control de inundaciones en el puente de alcantarilla de Post Oak Dr</w:t>
      </w:r>
    </w:p>
    <w:p w14:paraId="1BB87C85" w14:textId="77777777" w:rsidR="00937A2E" w:rsidRPr="003767B9" w:rsidRDefault="00937A2E" w:rsidP="00937A2E">
      <w:pPr>
        <w:rPr>
          <w:rFonts w:cs="Arial"/>
          <w:sz w:val="22"/>
          <w:szCs w:val="22"/>
        </w:rPr>
      </w:pPr>
      <w:r w:rsidRPr="003767B9">
        <w:rPr>
          <w:rFonts w:cs="Arial"/>
          <w:sz w:val="22"/>
          <w:szCs w:val="22"/>
          <w:u w:val="single"/>
        </w:rPr>
        <w:t>Descripción del proyecto</w:t>
      </w:r>
      <w:r w:rsidRPr="003767B9">
        <w:rPr>
          <w:rFonts w:cs="Arial"/>
          <w:sz w:val="22"/>
          <w:szCs w:val="22"/>
        </w:rPr>
        <w:t>: El subcontratista deberá adquirir la propiedad; nivelar el arroyo; retirar e instalar el puente, alcantarillas de cajón, muros de cabecera, escolleras, barandillas y barandillas del puente; pavimentar; y completar las instalaciones asociadas. La construcción se llevará a cabo en la siguiente ubicación:</w:t>
      </w:r>
    </w:p>
    <w:p w14:paraId="216E4D44" w14:textId="2F7EA7B9" w:rsidR="00937A2E" w:rsidRPr="003767B9" w:rsidRDefault="00937A2E" w:rsidP="00937A2E">
      <w:pPr>
        <w:rPr>
          <w:rFonts w:cs="Arial"/>
          <w:sz w:val="22"/>
          <w:szCs w:val="22"/>
        </w:rPr>
      </w:pPr>
      <w:r w:rsidRPr="003767B9">
        <w:rPr>
          <w:rFonts w:cs="Arial"/>
          <w:sz w:val="22"/>
          <w:szCs w:val="22"/>
        </w:rPr>
        <w:t>Post Oak Drive, Elgin 78621, Desde aproximadamente 330 pies al sureste de Mesquite Trail, hacia el sureste 400 pies (30.43033, -97.22695), 400 pies lineales (LF).</w:t>
      </w:r>
    </w:p>
    <w:p w14:paraId="617FD95E" w14:textId="77777777" w:rsidR="00937A2E" w:rsidRPr="003767B9" w:rsidRDefault="00937A2E" w:rsidP="00937A2E">
      <w:pPr>
        <w:rPr>
          <w:rFonts w:cs="Arial"/>
          <w:sz w:val="22"/>
          <w:szCs w:val="22"/>
        </w:rPr>
      </w:pPr>
    </w:p>
    <w:p w14:paraId="7943CAAE" w14:textId="77777777" w:rsidR="003767B9" w:rsidRPr="003767B9" w:rsidRDefault="003767B9" w:rsidP="003767B9">
      <w:pPr>
        <w:rPr>
          <w:rFonts w:cs="Arial"/>
          <w:sz w:val="22"/>
          <w:szCs w:val="22"/>
        </w:rPr>
      </w:pPr>
      <w:r w:rsidRPr="003767B9">
        <w:rPr>
          <w:rFonts w:cs="Arial"/>
          <w:sz w:val="22"/>
          <w:szCs w:val="22"/>
          <w:u w:val="single"/>
        </w:rPr>
        <w:t>Información sobre financiación</w:t>
      </w:r>
      <w:r w:rsidRPr="003767B9">
        <w:rPr>
          <w:rFonts w:cs="Arial"/>
          <w:sz w:val="22"/>
          <w:szCs w:val="22"/>
        </w:rPr>
        <w:t>:</w:t>
      </w:r>
    </w:p>
    <w:p w14:paraId="38C36C93" w14:textId="77777777" w:rsidR="003767B9" w:rsidRPr="003767B9" w:rsidRDefault="003767B9" w:rsidP="003767B9">
      <w:pPr>
        <w:rPr>
          <w:rFonts w:cs="Arial"/>
          <w:sz w:val="22"/>
          <w:szCs w:val="22"/>
        </w:rPr>
      </w:pPr>
      <w:r w:rsidRPr="003767B9">
        <w:rPr>
          <w:rFonts w:cs="Arial"/>
          <w:sz w:val="22"/>
          <w:szCs w:val="22"/>
        </w:rPr>
        <w:t>Monto total estimado financiado por HUD: $2.548.800,00</w:t>
      </w:r>
    </w:p>
    <w:p w14:paraId="3C290484" w14:textId="77777777" w:rsidR="003767B9" w:rsidRPr="003767B9" w:rsidRDefault="003767B9" w:rsidP="003767B9">
      <w:pPr>
        <w:rPr>
          <w:rFonts w:cs="Arial"/>
          <w:sz w:val="22"/>
          <w:szCs w:val="22"/>
        </w:rPr>
      </w:pPr>
      <w:r w:rsidRPr="003767B9">
        <w:rPr>
          <w:rFonts w:cs="Arial"/>
          <w:sz w:val="22"/>
          <w:szCs w:val="22"/>
        </w:rPr>
        <w:t>Fondos ajenos a HUD: $0,00</w:t>
      </w:r>
    </w:p>
    <w:p w14:paraId="4F252061" w14:textId="0C9F0FE0" w:rsidR="00937A2E" w:rsidRPr="003767B9" w:rsidRDefault="003767B9" w:rsidP="003767B9">
      <w:pPr>
        <w:rPr>
          <w:rFonts w:cs="Arial"/>
          <w:sz w:val="22"/>
          <w:szCs w:val="22"/>
        </w:rPr>
      </w:pPr>
      <w:r w:rsidRPr="003767B9">
        <w:rPr>
          <w:rFonts w:cs="Arial"/>
          <w:sz w:val="22"/>
          <w:szCs w:val="22"/>
        </w:rPr>
        <w:t>Costo total estimado del proyecto (fondos de HUD y ajenos a HUD) [24 CFR 58.32(d)]: $2.548.800,00</w:t>
      </w:r>
    </w:p>
    <w:p w14:paraId="638DDAE5" w14:textId="77777777" w:rsidR="003767B9" w:rsidRPr="003767B9" w:rsidRDefault="003767B9" w:rsidP="003767B9">
      <w:pPr>
        <w:rPr>
          <w:rFonts w:cs="Arial"/>
          <w:sz w:val="22"/>
          <w:szCs w:val="22"/>
        </w:rPr>
      </w:pPr>
    </w:p>
    <w:p w14:paraId="6E3C887E" w14:textId="77777777" w:rsidR="003767B9" w:rsidRPr="003767B9" w:rsidRDefault="003767B9" w:rsidP="003767B9">
      <w:pPr>
        <w:rPr>
          <w:rFonts w:cs="Arial"/>
          <w:b/>
          <w:bCs/>
          <w:sz w:val="22"/>
          <w:szCs w:val="22"/>
        </w:rPr>
      </w:pPr>
      <w:r w:rsidRPr="003767B9">
        <w:rPr>
          <w:rFonts w:cs="Arial"/>
          <w:b/>
          <w:bCs/>
          <w:sz w:val="22"/>
          <w:szCs w:val="22"/>
        </w:rPr>
        <w:t>DECLARACIÓN DE AUSENCIA DE IMPACTO SIGNIFICATIVO</w:t>
      </w:r>
    </w:p>
    <w:p w14:paraId="234D2FAE" w14:textId="77777777" w:rsidR="003767B9" w:rsidRPr="003767B9" w:rsidRDefault="003767B9" w:rsidP="003767B9">
      <w:pPr>
        <w:rPr>
          <w:rFonts w:cs="Arial"/>
          <w:sz w:val="22"/>
          <w:szCs w:val="22"/>
        </w:rPr>
      </w:pPr>
      <w:r w:rsidRPr="003767B9">
        <w:rPr>
          <w:rFonts w:cs="Arial"/>
          <w:sz w:val="22"/>
          <w:szCs w:val="22"/>
        </w:rPr>
        <w:t>El Condado ha determinado que el proyecto no tendrá un impacto significativo en el medio ambiente humano; por lo tanto, no se requiere una Declaración de Impacto Ambiental conforme a la Ley Nacional de Política Ambiental de 1969 (NEPA). Puede consultar información adicional sobre el proyecto en el Expediente de Revisión Ambiental (ERR), archivado en el Condado de Lee, 200 S. Main Street, Sala 107, Giddings, TX 78942, (979) 542-3178, el cual puede ser consultado o copiado de lunes a viernes de 8:00 a. m. a 5:00 p. m.</w:t>
      </w:r>
    </w:p>
    <w:p w14:paraId="632AF1F6" w14:textId="77777777" w:rsidR="003767B9" w:rsidRPr="003767B9" w:rsidRDefault="003767B9" w:rsidP="003767B9">
      <w:pPr>
        <w:rPr>
          <w:rFonts w:cs="Arial"/>
          <w:sz w:val="22"/>
          <w:szCs w:val="22"/>
        </w:rPr>
      </w:pPr>
    </w:p>
    <w:p w14:paraId="01915CB6" w14:textId="77777777" w:rsidR="003767B9" w:rsidRPr="003767B9" w:rsidRDefault="003767B9" w:rsidP="003767B9">
      <w:pPr>
        <w:rPr>
          <w:rFonts w:cs="Arial"/>
          <w:b/>
          <w:bCs/>
          <w:sz w:val="22"/>
          <w:szCs w:val="22"/>
        </w:rPr>
      </w:pPr>
      <w:r w:rsidRPr="003767B9">
        <w:rPr>
          <w:rFonts w:cs="Arial"/>
          <w:b/>
          <w:bCs/>
          <w:sz w:val="22"/>
          <w:szCs w:val="22"/>
        </w:rPr>
        <w:t>AVISO FINAL Y EXPLICACIÓN PÚBLICA DE UNA ACTIVIDAD PROPUESTA EN UNA ZONA DE INUNDACIÓN Y HUMEDALES DESIGNADA SEGÚN LA NORMA FEDERAL DE GESTIÓN DEL RIESGO DE INUNDACIONES</w:t>
      </w:r>
    </w:p>
    <w:p w14:paraId="409E6CA3" w14:textId="77777777" w:rsidR="003767B9" w:rsidRPr="003767B9" w:rsidRDefault="003767B9" w:rsidP="003767B9">
      <w:pPr>
        <w:rPr>
          <w:rFonts w:cs="Arial"/>
          <w:sz w:val="22"/>
          <w:szCs w:val="22"/>
        </w:rPr>
      </w:pPr>
      <w:r w:rsidRPr="003767B9">
        <w:rPr>
          <w:rFonts w:cs="Arial"/>
          <w:sz w:val="22"/>
          <w:szCs w:val="22"/>
        </w:rPr>
        <w:t>Por la presente se notifica que el Condado, conforme a la Parte 58 del Título 24 del Código de Regulaciones Federales (24 CFR Parte 58), ha llevado a cabo una evaluación según lo exigido por las Órdenes Ejecutivas 11988 y 11990, de acuerdo con las regulaciones del Departamento de Vivienda y Desarrollo Urbano (HUD) en la Subparte C del Título 24 del Código de Regulaciones Federales (24 CFR 55.20 Subparte C), Procedimientos para la Determinación de la Gestión de Llanuras de Inundación y la Protección de Humedales. La actividad se financia con fondos del Programa de Subvenciones para el Desarrollo Comunitario (CDBG-MIT), asignados en virtud de la Ley de Asignaciones Suplementarias para Requisitos de Socorro en Casos de Desastre de 2018 (Ley Pública 115-123), enmendada, Contrato GLO n.° 24-065-169-F084. La ubicación y descripción del proyecto propuesto se detallan en la SOLICITUD DE DESEMBOLSO DE FONDOS. La extensión de la llanura aluvial del FFRMS se determinó utilizando el método del valor de margen libre y los mapas de FEMA.</w:t>
      </w:r>
    </w:p>
    <w:p w14:paraId="18BA7DBD" w14:textId="77777777" w:rsidR="003767B9" w:rsidRPr="003767B9" w:rsidRDefault="003767B9" w:rsidP="003767B9">
      <w:pPr>
        <w:rPr>
          <w:rFonts w:cs="Arial"/>
          <w:sz w:val="22"/>
          <w:szCs w:val="22"/>
        </w:rPr>
      </w:pPr>
    </w:p>
    <w:p w14:paraId="45767667" w14:textId="77777777" w:rsidR="003767B9" w:rsidRPr="003767B9" w:rsidRDefault="003767B9" w:rsidP="003767B9">
      <w:pPr>
        <w:rPr>
          <w:rFonts w:cs="Arial"/>
          <w:sz w:val="22"/>
          <w:szCs w:val="22"/>
        </w:rPr>
      </w:pPr>
      <w:r w:rsidRPr="003767B9">
        <w:rPr>
          <w:rFonts w:cs="Arial"/>
          <w:sz w:val="22"/>
          <w:szCs w:val="22"/>
        </w:rPr>
        <w:t>Nota: Según el informe FEMA FIRM 48287C0300C, panel 300 de 500, vigente desde el 16/04/2014, toda el área del proyecto se encuentra en la Zona X, fuera de la llanura aluvial. CR 426/CR 429: Según el informe FIRM 48287C0300C de FEMA, Panel 300 de 500, vigente desde el 16/04/2014, una porción muy pequeña (menos de 0.10 acres) se encuentra en la Zona A de la llanura aluvial de 100 años, al otro lado de la CR 426.</w:t>
      </w:r>
    </w:p>
    <w:p w14:paraId="6CA936D7" w14:textId="77777777" w:rsidR="003767B9" w:rsidRPr="003767B9" w:rsidRDefault="003767B9" w:rsidP="003767B9">
      <w:pPr>
        <w:rPr>
          <w:rFonts w:cs="Arial"/>
          <w:sz w:val="22"/>
          <w:szCs w:val="22"/>
        </w:rPr>
      </w:pPr>
      <w:r w:rsidRPr="003767B9">
        <w:rPr>
          <w:rFonts w:cs="Arial"/>
          <w:sz w:val="22"/>
          <w:szCs w:val="22"/>
        </w:rPr>
        <w:t>Post Oak Drive: Según el informe FIRMette 48287C0090C de la Capa Nacional de Riesgo de Inundación (NFHL) de FEMA, vigente desde el 16/04/2014, el sitio del proyecto se encuentra parcialmente en la Zona AE de la llanura aluvial de 100 años, con un total aproximado de 0.17 acres.</w:t>
      </w:r>
    </w:p>
    <w:p w14:paraId="32A9C5C0" w14:textId="77777777" w:rsidR="003767B9" w:rsidRPr="003767B9" w:rsidRDefault="003767B9" w:rsidP="003767B9">
      <w:pPr>
        <w:rPr>
          <w:rFonts w:cs="Arial"/>
          <w:sz w:val="22"/>
          <w:szCs w:val="22"/>
        </w:rPr>
      </w:pPr>
      <w:r w:rsidRPr="003767B9">
        <w:rPr>
          <w:rFonts w:cs="Arial"/>
          <w:sz w:val="22"/>
          <w:szCs w:val="22"/>
        </w:rPr>
        <w:t>Los beneficios de la llanura aluvial no se verán afectados negativamente, ya que las mejoras en el drenaje y la gestión de inundaciones optimizarán el flujo de las tormentas, previniendo la erosión y los cambios en la topografía. Se consideraron todos los datos pertinentes y más recientes para esta revisión. Se completó el Proceso de 8 Pasos para la Gestión de Llanuras Aluviales.</w:t>
      </w:r>
    </w:p>
    <w:p w14:paraId="3614231A" w14:textId="77777777" w:rsidR="003767B9" w:rsidRPr="003767B9" w:rsidRDefault="003767B9" w:rsidP="003767B9">
      <w:pPr>
        <w:rPr>
          <w:rFonts w:cs="Arial"/>
          <w:sz w:val="22"/>
          <w:szCs w:val="22"/>
        </w:rPr>
      </w:pPr>
      <w:r w:rsidRPr="003767B9">
        <w:rPr>
          <w:rFonts w:cs="Arial"/>
          <w:sz w:val="22"/>
          <w:szCs w:val="22"/>
        </w:rPr>
        <w:t>Los mapas del Inventario Nacional de Humedales (NWI) del Servicio de Pesca y Vida Silvestre de EE. UU. (USFWS) para cada sitio indican la posible presencia de humedales. Hydrex Environmental realizó un reconocimiento in situ de las áreas del proyecto y determinó que, con base en los impactos mínimos sobre las Aguas de los EE. UU. (WOTUS) (&lt;0.1 acres de impacto en cada proyecto individual y completo), las mejoras propuestas pueden construirse bajo la autorización del NWP 14 sin necesidad de Notificación Previa a la Construcción (PCN).</w:t>
      </w:r>
    </w:p>
    <w:p w14:paraId="3D9379CE" w14:textId="77777777" w:rsidR="003767B9" w:rsidRPr="003767B9" w:rsidRDefault="003767B9" w:rsidP="003767B9">
      <w:pPr>
        <w:rPr>
          <w:rFonts w:cs="Arial"/>
          <w:sz w:val="22"/>
          <w:szCs w:val="22"/>
        </w:rPr>
      </w:pPr>
    </w:p>
    <w:p w14:paraId="5DB4BA1D" w14:textId="77777777" w:rsidR="003767B9" w:rsidRPr="003767B9" w:rsidRDefault="003767B9" w:rsidP="003767B9">
      <w:pPr>
        <w:rPr>
          <w:rFonts w:cs="Arial"/>
          <w:sz w:val="22"/>
          <w:szCs w:val="22"/>
        </w:rPr>
      </w:pPr>
      <w:r w:rsidRPr="003767B9">
        <w:rPr>
          <w:rFonts w:cs="Arial"/>
          <w:sz w:val="22"/>
          <w:szCs w:val="22"/>
        </w:rPr>
        <w:t>No habrá efectos adversos sobre los humedales. Se cumple con las directrices de HUD Exchange.</w:t>
      </w:r>
    </w:p>
    <w:p w14:paraId="7954C20C" w14:textId="77777777" w:rsidR="003767B9" w:rsidRPr="003767B9" w:rsidRDefault="003767B9" w:rsidP="003767B9">
      <w:pPr>
        <w:rPr>
          <w:rFonts w:cs="Arial"/>
          <w:sz w:val="22"/>
          <w:szCs w:val="22"/>
        </w:rPr>
      </w:pPr>
    </w:p>
    <w:p w14:paraId="43A54C8E" w14:textId="77777777" w:rsidR="003767B9" w:rsidRPr="003767B9" w:rsidRDefault="003767B9" w:rsidP="003767B9">
      <w:pPr>
        <w:rPr>
          <w:rFonts w:cs="Arial"/>
          <w:sz w:val="22"/>
          <w:szCs w:val="22"/>
        </w:rPr>
      </w:pPr>
      <w:r w:rsidRPr="003767B9">
        <w:rPr>
          <w:rFonts w:cs="Arial"/>
          <w:sz w:val="22"/>
          <w:szCs w:val="22"/>
        </w:rPr>
        <w:t>El Condado ha considerado las siguientes alternativas y medidas de mitigación para minimizar los impactos adversos y restaurar y preservar las funciones naturales y beneficiosas, así como los valores intrínsecos de la llanura aluvial y el humedal existentes:</w:t>
      </w:r>
    </w:p>
    <w:p w14:paraId="3776C9B7" w14:textId="77777777" w:rsidR="003767B9" w:rsidRPr="003767B9" w:rsidRDefault="003767B9" w:rsidP="003767B9">
      <w:pPr>
        <w:rPr>
          <w:rFonts w:cs="Arial"/>
          <w:sz w:val="22"/>
          <w:szCs w:val="22"/>
        </w:rPr>
      </w:pPr>
      <w:r w:rsidRPr="003767B9">
        <w:rPr>
          <w:rFonts w:cs="Arial"/>
          <w:sz w:val="22"/>
          <w:szCs w:val="22"/>
        </w:rPr>
        <w:t>Diferentes actividades: Una alternativa considerada es adquirir parte del derecho de vía en el lado sur de la carretera e instalar un puente. Si bien las alcantarillas siguen siendo una opción, esta alternativa sería costosa y podría causar suficiente alteración (del humedal) como para requerir una notificación para el Permiso Nacional. Además, si la carretera se mantiene en el mismo trazado, los residentes perderían el acceso a sus hogares durante semanas debido al cierre de la carretera por obras. Adquirir el derecho de vía y modificar el trazado adyacente a la carretera existente permite elevar la carretera e instalar alcantarillas o un puente, manteniendo al mismo tiempo el único acceso para los residentes.</w:t>
      </w:r>
    </w:p>
    <w:p w14:paraId="63253B0F" w14:textId="77777777" w:rsidR="003767B9" w:rsidRPr="003767B9" w:rsidRDefault="003767B9" w:rsidP="003767B9">
      <w:pPr>
        <w:rPr>
          <w:rFonts w:cs="Arial"/>
          <w:sz w:val="22"/>
          <w:szCs w:val="22"/>
        </w:rPr>
      </w:pPr>
    </w:p>
    <w:p w14:paraId="26579687" w14:textId="77777777" w:rsidR="003767B9" w:rsidRPr="003767B9" w:rsidRDefault="003767B9" w:rsidP="003767B9">
      <w:pPr>
        <w:rPr>
          <w:rFonts w:cs="Arial"/>
          <w:sz w:val="22"/>
          <w:szCs w:val="22"/>
        </w:rPr>
      </w:pPr>
      <w:r w:rsidRPr="003767B9">
        <w:rPr>
          <w:rFonts w:cs="Arial"/>
          <w:sz w:val="22"/>
          <w:szCs w:val="22"/>
        </w:rPr>
        <w:t>Alternativa de no intervención: No tomar ninguna medida no generaría costos para las mejoras ni causaría impacto ambiental relacionado con la construcción, pero no permitiría mitigar futuras inundaciones donde ya se han producido.</w:t>
      </w:r>
    </w:p>
    <w:p w14:paraId="093677FD" w14:textId="77777777" w:rsidR="003767B9" w:rsidRPr="003767B9" w:rsidRDefault="003767B9" w:rsidP="003767B9">
      <w:pPr>
        <w:rPr>
          <w:rFonts w:cs="Arial"/>
          <w:sz w:val="22"/>
          <w:szCs w:val="22"/>
        </w:rPr>
      </w:pPr>
    </w:p>
    <w:p w14:paraId="09A5C834" w14:textId="77777777" w:rsidR="003767B9" w:rsidRPr="003767B9" w:rsidRDefault="003767B9" w:rsidP="003767B9">
      <w:pPr>
        <w:rPr>
          <w:rFonts w:cs="Arial"/>
          <w:sz w:val="22"/>
          <w:szCs w:val="22"/>
        </w:rPr>
      </w:pPr>
      <w:r w:rsidRPr="003767B9">
        <w:rPr>
          <w:rFonts w:cs="Arial"/>
          <w:sz w:val="22"/>
          <w:szCs w:val="22"/>
        </w:rPr>
        <w:t>El Condado ha reevaluado las alternativas a la construcción en la llanura aluvial y el humedal y ha determinado que no existe una alternativa viable para el desarrollo en dichas zonas. Los archivos ambientales que documentan el cumplimiento de las Órdenes Ejecutivas 11988 y 11990 están disponibles para inspección, revisión y copia pública, según lo estipulado en el párrafo de la DECLARACIÓN DE AUSENCIA DE IMPACTO SIGNIFICATIVO.</w:t>
      </w:r>
    </w:p>
    <w:p w14:paraId="37FE3B92" w14:textId="77777777" w:rsidR="003767B9" w:rsidRPr="003767B9" w:rsidRDefault="003767B9" w:rsidP="003767B9">
      <w:pPr>
        <w:rPr>
          <w:rFonts w:cs="Arial"/>
          <w:sz w:val="22"/>
          <w:szCs w:val="22"/>
        </w:rPr>
      </w:pPr>
    </w:p>
    <w:p w14:paraId="0B375048" w14:textId="2F403139" w:rsidR="003767B9" w:rsidRPr="003767B9" w:rsidRDefault="003767B9" w:rsidP="003767B9">
      <w:pPr>
        <w:rPr>
          <w:rFonts w:cs="Arial"/>
          <w:sz w:val="22"/>
          <w:szCs w:val="22"/>
        </w:rPr>
      </w:pPr>
      <w:r w:rsidRPr="003767B9">
        <w:rPr>
          <w:rFonts w:cs="Arial"/>
          <w:sz w:val="22"/>
          <w:szCs w:val="22"/>
        </w:rPr>
        <w:t>Este aviso tiene tres propósitos principales. Primero, las personas que puedan verse afectadas por actividades en llanuras aluviales y humedales, así como quienes tengan interés en la protección del medio ambiente natural, deben tener la oportunidad de expresar sus inquietudes y proporcionar información sobre estas áreas. Segundo, un programa adecuado de avisos públicos puede ser una importante herramienta educativa. La difusión de información y la solicitud de comentarios públicos sobre llanuras aluviales y humedales pueden facilitar y fortalecer los esfuerzos federales para reducir los riesgos e impactos asociados con la ocupación y modificación de estas áreas especiales. Tercero.</w:t>
      </w:r>
    </w:p>
    <w:p w14:paraId="28F414D2" w14:textId="77777777" w:rsidR="003767B9" w:rsidRPr="003767B9" w:rsidRDefault="003767B9" w:rsidP="003767B9">
      <w:pPr>
        <w:rPr>
          <w:rFonts w:cs="Arial"/>
          <w:sz w:val="22"/>
          <w:szCs w:val="22"/>
        </w:rPr>
      </w:pPr>
    </w:p>
    <w:p w14:paraId="7D347E27" w14:textId="77777777" w:rsidR="003767B9" w:rsidRPr="003767B9" w:rsidRDefault="003767B9" w:rsidP="003767B9">
      <w:pPr>
        <w:rPr>
          <w:rFonts w:cs="Arial"/>
          <w:b/>
          <w:bCs/>
          <w:sz w:val="22"/>
          <w:szCs w:val="22"/>
        </w:rPr>
      </w:pPr>
      <w:r w:rsidRPr="003767B9">
        <w:rPr>
          <w:rFonts w:cs="Arial"/>
          <w:b/>
          <w:bCs/>
          <w:sz w:val="22"/>
          <w:szCs w:val="22"/>
        </w:rPr>
        <w:t>COMENTARIOS DEL PÚBLICO</w:t>
      </w:r>
    </w:p>
    <w:p w14:paraId="61D8A63C" w14:textId="2418A694" w:rsidR="003767B9" w:rsidRPr="003767B9" w:rsidRDefault="003767B9" w:rsidP="003767B9">
      <w:pPr>
        <w:rPr>
          <w:rFonts w:cs="Arial"/>
          <w:sz w:val="22"/>
          <w:szCs w:val="22"/>
        </w:rPr>
      </w:pPr>
      <w:r w:rsidRPr="003767B9">
        <w:rPr>
          <w:rFonts w:cs="Arial"/>
          <w:sz w:val="22"/>
          <w:szCs w:val="22"/>
        </w:rPr>
        <w:t xml:space="preserve">Cualquier persona, grupo u organismo puede presentar comentarios u objeciones por escrito sobre la ERR al Condado de Lee. Todos los comentarios recibidos antes del </w:t>
      </w:r>
      <w:r w:rsidR="002234E5">
        <w:rPr>
          <w:rFonts w:cs="Arial"/>
          <w:sz w:val="22"/>
          <w:szCs w:val="22"/>
        </w:rPr>
        <w:t>1 de junio</w:t>
      </w:r>
      <w:r w:rsidRPr="003767B9">
        <w:rPr>
          <w:rFonts w:cs="Arial"/>
          <w:sz w:val="22"/>
          <w:szCs w:val="22"/>
        </w:rPr>
        <w:t xml:space="preserve"> de 2026 serán considerados por el Condado antes de autorizar la solicitud de desembolso de fondos. Los comentarios deben dirigirse al Condado a través del correo electrónico emc@co.lee.tx.us o por correo postal a: Condado de Lee, 200 S. Main Street, Sala 107, Giddings, TX 78942, (979) 542-3178, a la atención de la Oficina del Juez del Condado Malinak. Los comentarios deben especificar a qué Aviso se refieren.</w:t>
      </w:r>
    </w:p>
    <w:p w14:paraId="4F6E469B" w14:textId="77777777" w:rsidR="003767B9" w:rsidRPr="003767B9" w:rsidRDefault="003767B9" w:rsidP="003767B9">
      <w:pPr>
        <w:rPr>
          <w:rFonts w:cs="Arial"/>
          <w:sz w:val="22"/>
          <w:szCs w:val="22"/>
        </w:rPr>
      </w:pPr>
    </w:p>
    <w:p w14:paraId="549776FB" w14:textId="77777777" w:rsidR="003767B9" w:rsidRPr="003767B9" w:rsidRDefault="003767B9" w:rsidP="003767B9">
      <w:pPr>
        <w:rPr>
          <w:rFonts w:cs="Arial"/>
          <w:b/>
          <w:bCs/>
          <w:sz w:val="22"/>
          <w:szCs w:val="22"/>
        </w:rPr>
      </w:pPr>
      <w:r w:rsidRPr="003767B9">
        <w:rPr>
          <w:rFonts w:cs="Arial"/>
          <w:b/>
          <w:bCs/>
          <w:sz w:val="22"/>
          <w:szCs w:val="22"/>
        </w:rPr>
        <w:t>CERTIFICACIÓN AMBIENTAL</w:t>
      </w:r>
    </w:p>
    <w:p w14:paraId="51BC70BF" w14:textId="77777777" w:rsidR="003767B9" w:rsidRPr="003767B9" w:rsidRDefault="003767B9" w:rsidP="003767B9">
      <w:pPr>
        <w:rPr>
          <w:rFonts w:cs="Arial"/>
          <w:sz w:val="22"/>
          <w:szCs w:val="22"/>
        </w:rPr>
      </w:pPr>
      <w:r w:rsidRPr="003767B9">
        <w:rPr>
          <w:rFonts w:cs="Arial"/>
          <w:sz w:val="22"/>
          <w:szCs w:val="22"/>
        </w:rPr>
        <w:t>El Condado de Lee certifica ante la Oficina General de Tierras de Texas que Frank Malinak III, en su calidad de Juez del Condado, acepta la jurisdicción de los Tribunales Federales si se interpone una acción para hacer cumplir las responsabilidades relacionadas con el proceso de revisión ambiental y que dichas responsabilidades han sido cumplidas. La aprobación de la certificación por parte de GLO cumple con sus responsabilidades conforme a la NEPA y las leyes y autoridades relacionadas, y permite al Condado de Lee utilizar los fondos del Programa.</w:t>
      </w:r>
    </w:p>
    <w:p w14:paraId="453E2900" w14:textId="77777777" w:rsidR="003767B9" w:rsidRPr="003767B9" w:rsidRDefault="003767B9" w:rsidP="003767B9">
      <w:pPr>
        <w:rPr>
          <w:rFonts w:cs="Arial"/>
          <w:sz w:val="22"/>
          <w:szCs w:val="22"/>
        </w:rPr>
      </w:pPr>
    </w:p>
    <w:p w14:paraId="7CB7C820" w14:textId="77777777" w:rsidR="003767B9" w:rsidRPr="003767B9" w:rsidRDefault="003767B9" w:rsidP="003767B9">
      <w:pPr>
        <w:rPr>
          <w:rFonts w:cs="Arial"/>
          <w:b/>
          <w:bCs/>
          <w:sz w:val="22"/>
          <w:szCs w:val="22"/>
        </w:rPr>
      </w:pPr>
      <w:r w:rsidRPr="003767B9">
        <w:rPr>
          <w:rFonts w:cs="Arial"/>
          <w:b/>
          <w:bCs/>
          <w:sz w:val="22"/>
          <w:szCs w:val="22"/>
        </w:rPr>
        <w:t>OBJECIONES A LA LIBERACIÓN DE FONDOS</w:t>
      </w:r>
    </w:p>
    <w:p w14:paraId="31857FBE" w14:textId="77777777" w:rsidR="003767B9" w:rsidRPr="003767B9" w:rsidRDefault="003767B9" w:rsidP="003767B9">
      <w:pPr>
        <w:rPr>
          <w:rFonts w:cs="Arial"/>
          <w:sz w:val="22"/>
          <w:szCs w:val="22"/>
        </w:rPr>
      </w:pPr>
      <w:r w:rsidRPr="003767B9">
        <w:rPr>
          <w:rFonts w:cs="Arial"/>
          <w:sz w:val="22"/>
          <w:szCs w:val="22"/>
        </w:rPr>
        <w:t>GLO aceptará objeciones a la liberación de fondos y a la certificación del Condado durante un período de quince días a partir de la fecha prevista de presentación o de la recepción efectiva de la solicitud (lo que ocurra más tarde), únicamente si se basan en alguno de los siguientes motivos: (a) la certificación no fue firmada por el Funcionario Certificador del Condado de Lee; (b) el Condado de Lee omitió un paso o no tomó una decisión o emitió una resolución requerida por las regulaciones del HUD en 24 CFR parte 58; (c) el beneficiario de la subvención u otros participantes en el proceso de desarrollo comprometieron fondos, incurrieron en costos o realizaron actividades no autorizadas por 24 CFR parte 58 antes de la aprobación de la liberación de fondos por parte de GLO; (d) otra agencia federal, actuando de conformidad con 40 CFR parte 1504, presentó una resolución escrita que indica que el proyecto es insatisfactorio desde el punto de vista de la calidad ambiental. Las objeciones deben prepararse y presentarse de acuerdo con los procedimientos requeridos (24 CFR Parte 58, Sec. 58.76) y dirigirse a Heather Lagrone, Oficina General de Tierras de Texas, Desarrollo Comunitario y Revitalización, P.O. Box 12873, Austin, TX 78711-2873, o a env.reviews@recovery.texas.gov. Quienes deseen presentar una objeción deben comunicarse con la Oficina General de Tierras al (512) 475-5000 para verificar la fecha límite del plazo de objeción.</w:t>
      </w:r>
    </w:p>
    <w:p w14:paraId="69826946" w14:textId="77777777" w:rsidR="003767B9" w:rsidRPr="003767B9" w:rsidRDefault="003767B9" w:rsidP="003767B9">
      <w:pPr>
        <w:rPr>
          <w:rFonts w:cs="Arial"/>
          <w:sz w:val="22"/>
          <w:szCs w:val="22"/>
        </w:rPr>
      </w:pPr>
    </w:p>
    <w:p w14:paraId="52C2788D" w14:textId="4B0D86AF" w:rsidR="003767B9" w:rsidRPr="003767B9" w:rsidRDefault="003767B9" w:rsidP="003767B9">
      <w:pPr>
        <w:rPr>
          <w:rFonts w:cs="Arial"/>
          <w:sz w:val="22"/>
          <w:szCs w:val="22"/>
        </w:rPr>
      </w:pPr>
      <w:r w:rsidRPr="003767B9">
        <w:rPr>
          <w:rFonts w:cs="Arial"/>
          <w:sz w:val="22"/>
          <w:szCs w:val="22"/>
        </w:rPr>
        <w:t>Frank Malinak III, Juez del Condado</w:t>
      </w:r>
    </w:p>
    <w:sectPr w:rsidR="003767B9" w:rsidRPr="003767B9" w:rsidSect="00937A2E">
      <w:pgSz w:w="12240" w:h="15840"/>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778E7"/>
    <w:multiLevelType w:val="hybridMultilevel"/>
    <w:tmpl w:val="3572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2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2E"/>
    <w:rsid w:val="00103E5D"/>
    <w:rsid w:val="00203106"/>
    <w:rsid w:val="002234E5"/>
    <w:rsid w:val="00230CAD"/>
    <w:rsid w:val="003754A6"/>
    <w:rsid w:val="003767B9"/>
    <w:rsid w:val="00591DB0"/>
    <w:rsid w:val="007309B1"/>
    <w:rsid w:val="007D2568"/>
    <w:rsid w:val="00937A2E"/>
    <w:rsid w:val="009B48AD"/>
    <w:rsid w:val="00BA7E01"/>
    <w:rsid w:val="00DF4F7E"/>
    <w:rsid w:val="00F2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5F89"/>
  <w15:chartTrackingRefBased/>
  <w15:docId w15:val="{AC2658EF-33C0-42BF-8730-7A5C633E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B0"/>
  </w:style>
  <w:style w:type="paragraph" w:styleId="Heading1">
    <w:name w:val="heading 1"/>
    <w:basedOn w:val="Normal"/>
    <w:next w:val="Normal"/>
    <w:link w:val="Heading1Char"/>
    <w:qFormat/>
    <w:rsid w:val="00591DB0"/>
    <w:pPr>
      <w:keepNext/>
      <w:jc w:val="center"/>
      <w:outlineLvl w:val="0"/>
    </w:pPr>
    <w:rPr>
      <w:rFonts w:ascii="Garamond" w:eastAsia="Times New Roman" w:hAnsi="Garamond"/>
      <w:b/>
      <w:bCs/>
      <w:sz w:val="24"/>
      <w:szCs w:val="24"/>
    </w:rPr>
  </w:style>
  <w:style w:type="paragraph" w:styleId="Heading2">
    <w:name w:val="heading 2"/>
    <w:basedOn w:val="Normal"/>
    <w:next w:val="Normal"/>
    <w:link w:val="Heading2Char"/>
    <w:qFormat/>
    <w:rsid w:val="00591DB0"/>
    <w:pPr>
      <w:keepNext/>
      <w:outlineLvl w:val="1"/>
    </w:pPr>
    <w:rPr>
      <w:rFonts w:ascii="Garamond" w:eastAsia="Times New Roman" w:hAnsi="Garamond"/>
      <w:i/>
      <w:iCs/>
      <w:sz w:val="24"/>
      <w:szCs w:val="24"/>
    </w:rPr>
  </w:style>
  <w:style w:type="paragraph" w:styleId="Heading3">
    <w:name w:val="heading 3"/>
    <w:basedOn w:val="Normal"/>
    <w:next w:val="Normal"/>
    <w:link w:val="Heading3Char"/>
    <w:uiPriority w:val="9"/>
    <w:semiHidden/>
    <w:unhideWhenUsed/>
    <w:qFormat/>
    <w:rsid w:val="00937A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A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591DB0"/>
    <w:pPr>
      <w:keepNext/>
      <w:keepLines/>
      <w:spacing w:before="40"/>
      <w:outlineLvl w:val="4"/>
    </w:pPr>
    <w:rPr>
      <w:rFonts w:ascii="Cambria" w:eastAsia="Times New Roman" w:hAnsi="Cambria"/>
      <w:color w:val="365F91"/>
      <w:sz w:val="24"/>
      <w:szCs w:val="24"/>
    </w:rPr>
  </w:style>
  <w:style w:type="paragraph" w:styleId="Heading6">
    <w:name w:val="heading 6"/>
    <w:basedOn w:val="Normal"/>
    <w:next w:val="Normal"/>
    <w:link w:val="Heading6Char"/>
    <w:uiPriority w:val="9"/>
    <w:semiHidden/>
    <w:unhideWhenUsed/>
    <w:qFormat/>
    <w:rsid w:val="00937A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7A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1DB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937A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DB0"/>
    <w:pPr>
      <w:autoSpaceDE w:val="0"/>
      <w:autoSpaceDN w:val="0"/>
      <w:adjustRightInd w:val="0"/>
    </w:pPr>
    <w:rPr>
      <w:rFonts w:ascii="Times New Roman" w:eastAsia="Times New Roman" w:hAnsi="Times New Roman"/>
      <w:color w:val="000000"/>
      <w:kern w:val="0"/>
      <w:sz w:val="24"/>
      <w:szCs w:val="24"/>
      <w14:ligatures w14:val="none"/>
    </w:rPr>
  </w:style>
  <w:style w:type="paragraph" w:customStyle="1" w:styleId="TableParagraph">
    <w:name w:val="Table Paragraph"/>
    <w:basedOn w:val="Normal"/>
    <w:uiPriority w:val="1"/>
    <w:qFormat/>
    <w:rsid w:val="00591DB0"/>
    <w:pPr>
      <w:widowControl w:val="0"/>
      <w:autoSpaceDE w:val="0"/>
      <w:autoSpaceDN w:val="0"/>
    </w:pPr>
    <w:rPr>
      <w:rFonts w:eastAsia="Times New Roman"/>
      <w:sz w:val="22"/>
      <w:szCs w:val="22"/>
    </w:rPr>
  </w:style>
  <w:style w:type="character" w:customStyle="1" w:styleId="Heading1Char">
    <w:name w:val="Heading 1 Char"/>
    <w:link w:val="Heading1"/>
    <w:rsid w:val="00591DB0"/>
    <w:rPr>
      <w:rFonts w:ascii="Garamond" w:eastAsia="Times New Roman" w:hAnsi="Garamond" w:cs="Times New Roman"/>
      <w:b/>
      <w:bCs/>
      <w:kern w:val="0"/>
      <w:sz w:val="24"/>
      <w:szCs w:val="24"/>
      <w14:ligatures w14:val="none"/>
    </w:rPr>
  </w:style>
  <w:style w:type="character" w:customStyle="1" w:styleId="Heading2Char">
    <w:name w:val="Heading 2 Char"/>
    <w:link w:val="Heading2"/>
    <w:rsid w:val="00591DB0"/>
    <w:rPr>
      <w:rFonts w:ascii="Garamond" w:eastAsia="Times New Roman" w:hAnsi="Garamond" w:cs="Times New Roman"/>
      <w:i/>
      <w:iCs/>
      <w:kern w:val="0"/>
      <w:sz w:val="24"/>
      <w:szCs w:val="24"/>
      <w14:ligatures w14:val="none"/>
    </w:rPr>
  </w:style>
  <w:style w:type="character" w:customStyle="1" w:styleId="Heading5Char">
    <w:name w:val="Heading 5 Char"/>
    <w:link w:val="Heading5"/>
    <w:uiPriority w:val="9"/>
    <w:rsid w:val="00591DB0"/>
    <w:rPr>
      <w:rFonts w:ascii="Cambria" w:eastAsia="Times New Roman" w:hAnsi="Cambria" w:cs="Times New Roman"/>
      <w:color w:val="365F91"/>
      <w:kern w:val="0"/>
      <w:sz w:val="24"/>
      <w:szCs w:val="24"/>
      <w14:ligatures w14:val="none"/>
    </w:rPr>
  </w:style>
  <w:style w:type="character" w:customStyle="1" w:styleId="Heading8Char">
    <w:name w:val="Heading 8 Char"/>
    <w:link w:val="Heading8"/>
    <w:uiPriority w:val="9"/>
    <w:semiHidden/>
    <w:rsid w:val="00591DB0"/>
    <w:rPr>
      <w:rFonts w:ascii="Calibri" w:eastAsia="Times New Roman" w:hAnsi="Calibri" w:cs="Times New Roman"/>
      <w:i/>
      <w:iCs/>
      <w:kern w:val="0"/>
      <w:sz w:val="24"/>
      <w:szCs w:val="24"/>
      <w14:ligatures w14:val="none"/>
    </w:rPr>
  </w:style>
  <w:style w:type="paragraph" w:styleId="FootnoteText">
    <w:name w:val="footnote text"/>
    <w:basedOn w:val="Normal"/>
    <w:link w:val="FootnoteTextChar"/>
    <w:uiPriority w:val="99"/>
    <w:unhideWhenUsed/>
    <w:rsid w:val="00591DB0"/>
    <w:rPr>
      <w:rFonts w:ascii="Calibri" w:eastAsia="Calibri" w:hAnsi="Calibri"/>
    </w:rPr>
  </w:style>
  <w:style w:type="character" w:customStyle="1" w:styleId="FootnoteTextChar">
    <w:name w:val="Footnote Text Char"/>
    <w:basedOn w:val="DefaultParagraphFont"/>
    <w:link w:val="FootnoteText"/>
    <w:uiPriority w:val="99"/>
    <w:rsid w:val="00591DB0"/>
    <w:rPr>
      <w:rFonts w:ascii="Calibri" w:eastAsia="Calibri" w:hAnsi="Calibri" w:cs="Times New Roman"/>
      <w:kern w:val="0"/>
      <w:sz w:val="20"/>
      <w:szCs w:val="20"/>
      <w14:ligatures w14:val="none"/>
    </w:rPr>
  </w:style>
  <w:style w:type="paragraph" w:styleId="CommentText">
    <w:name w:val="annotation text"/>
    <w:basedOn w:val="Normal"/>
    <w:link w:val="CommentTextChar"/>
    <w:uiPriority w:val="99"/>
    <w:semiHidden/>
    <w:unhideWhenUsed/>
    <w:rsid w:val="00591DB0"/>
    <w:rPr>
      <w:rFonts w:eastAsia="Times New Roman"/>
    </w:rPr>
  </w:style>
  <w:style w:type="character" w:customStyle="1" w:styleId="CommentTextChar">
    <w:name w:val="Comment Text Char"/>
    <w:link w:val="CommentText"/>
    <w:uiPriority w:val="99"/>
    <w:semiHidden/>
    <w:rsid w:val="00591DB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rsid w:val="00591DB0"/>
    <w:pPr>
      <w:tabs>
        <w:tab w:val="center" w:pos="4320"/>
        <w:tab w:val="right" w:pos="8640"/>
      </w:tabs>
    </w:pPr>
    <w:rPr>
      <w:rFonts w:eastAsia="Times New Roman"/>
      <w:sz w:val="24"/>
      <w:szCs w:val="24"/>
    </w:rPr>
  </w:style>
  <w:style w:type="character" w:customStyle="1" w:styleId="HeaderChar">
    <w:name w:val="Header Char"/>
    <w:link w:val="Header"/>
    <w:uiPriority w:val="99"/>
    <w:rsid w:val="00591DB0"/>
    <w:rPr>
      <w:rFonts w:ascii="Times New Roman" w:eastAsia="Times New Roman" w:hAnsi="Times New Roman" w:cs="Times New Roman"/>
      <w:kern w:val="0"/>
      <w:sz w:val="24"/>
      <w:szCs w:val="24"/>
      <w14:ligatures w14:val="none"/>
    </w:rPr>
  </w:style>
  <w:style w:type="character" w:styleId="CommentReference">
    <w:name w:val="annotation reference"/>
    <w:uiPriority w:val="99"/>
    <w:semiHidden/>
    <w:unhideWhenUsed/>
    <w:rsid w:val="00591DB0"/>
    <w:rPr>
      <w:sz w:val="16"/>
      <w:szCs w:val="16"/>
    </w:rPr>
  </w:style>
  <w:style w:type="paragraph" w:styleId="BodyText">
    <w:name w:val="Body Text"/>
    <w:basedOn w:val="Normal"/>
    <w:link w:val="BodyTextChar"/>
    <w:rsid w:val="00591DB0"/>
    <w:rPr>
      <w:rFonts w:eastAsia="Times New Roman"/>
      <w:b/>
      <w:bCs/>
      <w:sz w:val="24"/>
      <w:szCs w:val="24"/>
    </w:rPr>
  </w:style>
  <w:style w:type="character" w:customStyle="1" w:styleId="BodyTextChar">
    <w:name w:val="Body Text Char"/>
    <w:link w:val="BodyText"/>
    <w:rsid w:val="00591DB0"/>
    <w:rPr>
      <w:rFonts w:ascii="Times New Roman" w:eastAsia="Times New Roman" w:hAnsi="Times New Roman" w:cs="Times New Roman"/>
      <w:b/>
      <w:bCs/>
      <w:kern w:val="0"/>
      <w:sz w:val="24"/>
      <w:szCs w:val="24"/>
      <w14:ligatures w14:val="none"/>
    </w:rPr>
  </w:style>
  <w:style w:type="character" w:styleId="Hyperlink">
    <w:name w:val="Hyperlink"/>
    <w:uiPriority w:val="99"/>
    <w:unhideWhenUsed/>
    <w:rsid w:val="00591DB0"/>
    <w:rPr>
      <w:color w:val="0563C1"/>
      <w:u w:val="single"/>
    </w:rPr>
  </w:style>
  <w:style w:type="paragraph" w:styleId="CommentSubject">
    <w:name w:val="annotation subject"/>
    <w:basedOn w:val="CommentText"/>
    <w:next w:val="CommentText"/>
    <w:link w:val="CommentSubjectChar"/>
    <w:uiPriority w:val="99"/>
    <w:semiHidden/>
    <w:unhideWhenUsed/>
    <w:rsid w:val="00591DB0"/>
    <w:rPr>
      <w:b/>
      <w:bCs/>
    </w:rPr>
  </w:style>
  <w:style w:type="character" w:customStyle="1" w:styleId="CommentSubjectChar">
    <w:name w:val="Comment Subject Char"/>
    <w:link w:val="CommentSubject"/>
    <w:uiPriority w:val="99"/>
    <w:semiHidden/>
    <w:rsid w:val="00591DB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591DB0"/>
    <w:rPr>
      <w:rFonts w:ascii="Tahoma" w:eastAsia="Times New Roman" w:hAnsi="Tahoma" w:cs="Tahoma"/>
      <w:sz w:val="16"/>
      <w:szCs w:val="16"/>
    </w:rPr>
  </w:style>
  <w:style w:type="character" w:customStyle="1" w:styleId="BalloonTextChar">
    <w:name w:val="Balloon Text Char"/>
    <w:link w:val="BalloonText"/>
    <w:uiPriority w:val="99"/>
    <w:semiHidden/>
    <w:rsid w:val="00591DB0"/>
    <w:rPr>
      <w:rFonts w:ascii="Tahoma" w:eastAsia="Times New Roman" w:hAnsi="Tahoma" w:cs="Tahoma"/>
      <w:kern w:val="0"/>
      <w:sz w:val="16"/>
      <w:szCs w:val="16"/>
      <w14:ligatures w14:val="none"/>
    </w:rPr>
  </w:style>
  <w:style w:type="table" w:styleId="TableGrid">
    <w:name w:val="Table Grid"/>
    <w:basedOn w:val="TableNormal"/>
    <w:uiPriority w:val="59"/>
    <w:rsid w:val="00591DB0"/>
    <w:rPr>
      <w:rFonts w:ascii="Times New Roman" w:eastAsia="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591DB0"/>
    <w:rPr>
      <w:rFonts w:eastAsia="Times New Roman"/>
      <w:bCs/>
      <w:sz w:val="24"/>
      <w:szCs w:val="32"/>
      <w:lang w:bidi="en-US"/>
    </w:rPr>
  </w:style>
  <w:style w:type="character" w:customStyle="1" w:styleId="NoSpacingChar">
    <w:name w:val="No Spacing Char"/>
    <w:link w:val="NoSpacing"/>
    <w:uiPriority w:val="1"/>
    <w:rsid w:val="00591DB0"/>
    <w:rPr>
      <w:rFonts w:ascii="Times New Roman" w:eastAsia="Times New Roman" w:hAnsi="Times New Roman" w:cs="Times New Roman"/>
      <w:bCs/>
      <w:kern w:val="0"/>
      <w:sz w:val="24"/>
      <w:szCs w:val="32"/>
      <w:lang w:bidi="en-US"/>
      <w14:ligatures w14:val="none"/>
    </w:rPr>
  </w:style>
  <w:style w:type="character" w:styleId="UnresolvedMention">
    <w:name w:val="Unresolved Mention"/>
    <w:uiPriority w:val="99"/>
    <w:semiHidden/>
    <w:unhideWhenUsed/>
    <w:rsid w:val="00591DB0"/>
    <w:rPr>
      <w:color w:val="605E5C"/>
      <w:shd w:val="clear" w:color="auto" w:fill="E1DFDD"/>
    </w:rPr>
  </w:style>
  <w:style w:type="character" w:customStyle="1" w:styleId="Heading3Char">
    <w:name w:val="Heading 3 Char"/>
    <w:basedOn w:val="DefaultParagraphFont"/>
    <w:link w:val="Heading3"/>
    <w:uiPriority w:val="9"/>
    <w:semiHidden/>
    <w:rsid w:val="00937A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A2E"/>
    <w:rPr>
      <w:rFonts w:asciiTheme="minorHAnsi" w:eastAsiaTheme="majorEastAsia" w:hAnsiTheme="minorHAnsi" w:cstheme="majorBidi"/>
      <w:i/>
      <w:iCs/>
      <w:color w:val="0F4761" w:themeColor="accent1" w:themeShade="BF"/>
    </w:rPr>
  </w:style>
  <w:style w:type="character" w:customStyle="1" w:styleId="Heading6Char">
    <w:name w:val="Heading 6 Char"/>
    <w:basedOn w:val="DefaultParagraphFont"/>
    <w:link w:val="Heading6"/>
    <w:uiPriority w:val="9"/>
    <w:semiHidden/>
    <w:rsid w:val="00937A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7A2E"/>
    <w:rPr>
      <w:rFonts w:asciiTheme="minorHAnsi" w:eastAsiaTheme="majorEastAsia" w:hAnsiTheme="minorHAnsi" w:cstheme="majorBidi"/>
      <w:color w:val="595959" w:themeColor="text1" w:themeTint="A6"/>
    </w:rPr>
  </w:style>
  <w:style w:type="character" w:customStyle="1" w:styleId="Heading9Char">
    <w:name w:val="Heading 9 Char"/>
    <w:basedOn w:val="DefaultParagraphFont"/>
    <w:link w:val="Heading9"/>
    <w:uiPriority w:val="9"/>
    <w:semiHidden/>
    <w:rsid w:val="00937A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7A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A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A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7A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A2E"/>
    <w:rPr>
      <w:i/>
      <w:iCs/>
      <w:color w:val="404040" w:themeColor="text1" w:themeTint="BF"/>
    </w:rPr>
  </w:style>
  <w:style w:type="paragraph" w:styleId="ListParagraph">
    <w:name w:val="List Paragraph"/>
    <w:basedOn w:val="Normal"/>
    <w:uiPriority w:val="34"/>
    <w:qFormat/>
    <w:rsid w:val="00937A2E"/>
    <w:pPr>
      <w:ind w:left="720"/>
      <w:contextualSpacing/>
    </w:pPr>
  </w:style>
  <w:style w:type="character" w:styleId="IntenseEmphasis">
    <w:name w:val="Intense Emphasis"/>
    <w:basedOn w:val="DefaultParagraphFont"/>
    <w:uiPriority w:val="21"/>
    <w:qFormat/>
    <w:rsid w:val="00937A2E"/>
    <w:rPr>
      <w:i/>
      <w:iCs/>
      <w:color w:val="0F4761" w:themeColor="accent1" w:themeShade="BF"/>
    </w:rPr>
  </w:style>
  <w:style w:type="paragraph" w:styleId="IntenseQuote">
    <w:name w:val="Intense Quote"/>
    <w:basedOn w:val="Normal"/>
    <w:next w:val="Normal"/>
    <w:link w:val="IntenseQuoteChar"/>
    <w:uiPriority w:val="30"/>
    <w:qFormat/>
    <w:rsid w:val="00937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A2E"/>
    <w:rPr>
      <w:i/>
      <w:iCs/>
      <w:color w:val="0F4761" w:themeColor="accent1" w:themeShade="BF"/>
    </w:rPr>
  </w:style>
  <w:style w:type="character" w:styleId="IntenseReference">
    <w:name w:val="Intense Reference"/>
    <w:basedOn w:val="DefaultParagraphFont"/>
    <w:uiPriority w:val="32"/>
    <w:qFormat/>
    <w:rsid w:val="00937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Durham</dc:creator>
  <cp:keywords/>
  <dc:description/>
  <cp:lastModifiedBy>Melisa Durham</cp:lastModifiedBy>
  <cp:revision>2</cp:revision>
  <dcterms:created xsi:type="dcterms:W3CDTF">2026-05-12T17:21:00Z</dcterms:created>
  <dcterms:modified xsi:type="dcterms:W3CDTF">2026-05-13T18:40:00Z</dcterms:modified>
</cp:coreProperties>
</file>