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6FE" w:rsidRPr="00A806FE" w:rsidRDefault="00A806FE" w:rsidP="00A806FE">
      <w:pPr>
        <w:shd w:val="clear" w:color="auto" w:fill="FFFFFF"/>
        <w:spacing w:before="100" w:beforeAutospacing="1" w:after="100" w:afterAutospacing="1" w:line="210" w:lineRule="atLeast"/>
        <w:outlineLvl w:val="1"/>
        <w:rPr>
          <w:rFonts w:ascii="Open Sans" w:eastAsia="Times New Roman" w:hAnsi="Open Sans" w:cs="Times New Roman"/>
          <w:b/>
          <w:bCs/>
          <w:color w:val="3F3F3F"/>
          <w:sz w:val="36"/>
          <w:szCs w:val="36"/>
          <w:lang w:val="en"/>
        </w:rPr>
      </w:pPr>
      <w:bookmarkStart w:id="0" w:name="_GoBack"/>
      <w:bookmarkEnd w:id="0"/>
      <w:r w:rsidRPr="00A806FE">
        <w:rPr>
          <w:rFonts w:ascii="Open Sans" w:eastAsia="Times New Roman" w:hAnsi="Open Sans" w:cs="Times New Roman"/>
          <w:b/>
          <w:bCs/>
          <w:color w:val="3F3F3F"/>
          <w:sz w:val="36"/>
          <w:szCs w:val="36"/>
          <w:lang w:val="en"/>
        </w:rPr>
        <w:t>Economic Injury Disaster Loans</w:t>
      </w:r>
    </w:p>
    <w:p w:rsidR="00A806FE" w:rsidRPr="00A806FE" w:rsidRDefault="00A806FE" w:rsidP="00A806FE">
      <w:p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 xml:space="preserve">If you have suffered substantial economic injury and are one of the following types of businesses located in a </w:t>
      </w:r>
      <w:hyperlink r:id="rId5" w:history="1">
        <w:r w:rsidRPr="00A806FE">
          <w:rPr>
            <w:rFonts w:ascii="Open Sans" w:eastAsia="Times New Roman" w:hAnsi="Open Sans" w:cs="Times New Roman"/>
            <w:color w:val="293F7C"/>
            <w:sz w:val="18"/>
            <w:szCs w:val="18"/>
            <w:lang w:val="en"/>
          </w:rPr>
          <w:t>declared disaster area</w:t>
        </w:r>
      </w:hyperlink>
      <w:r w:rsidRPr="00A806FE">
        <w:rPr>
          <w:rFonts w:ascii="Open Sans" w:eastAsia="Times New Roman" w:hAnsi="Open Sans" w:cs="Times New Roman"/>
          <w:color w:val="3F3F3F"/>
          <w:sz w:val="18"/>
          <w:szCs w:val="18"/>
          <w:lang w:val="en"/>
        </w:rPr>
        <w:t>, you may be eligible for an SBA Economic Injury Disaster Loan (EIDL):</w:t>
      </w:r>
    </w:p>
    <w:p w:rsidR="00A806FE" w:rsidRPr="00A806FE" w:rsidRDefault="00A806FE" w:rsidP="00A806FE">
      <w:pPr>
        <w:numPr>
          <w:ilvl w:val="0"/>
          <w:numId w:val="1"/>
        </w:num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Small business</w:t>
      </w:r>
    </w:p>
    <w:p w:rsidR="00A806FE" w:rsidRPr="00A806FE" w:rsidRDefault="00A806FE" w:rsidP="00A806FE">
      <w:pPr>
        <w:numPr>
          <w:ilvl w:val="0"/>
          <w:numId w:val="1"/>
        </w:num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Small agricultural cooperative</w:t>
      </w:r>
    </w:p>
    <w:p w:rsidR="00A806FE" w:rsidRPr="00A806FE" w:rsidRDefault="00A806FE" w:rsidP="00A806FE">
      <w:pPr>
        <w:numPr>
          <w:ilvl w:val="0"/>
          <w:numId w:val="1"/>
        </w:num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Most private nonprofit organizations</w:t>
      </w:r>
    </w:p>
    <w:p w:rsidR="00A806FE" w:rsidRPr="00A806FE" w:rsidRDefault="00A806FE" w:rsidP="00A806FE">
      <w:pPr>
        <w:shd w:val="clear" w:color="auto" w:fill="FFFFFF"/>
        <w:spacing w:before="100" w:beforeAutospacing="1" w:after="100" w:afterAutospacing="1" w:line="210" w:lineRule="atLeast"/>
        <w:outlineLvl w:val="2"/>
        <w:rPr>
          <w:rFonts w:ascii="Open Sans" w:eastAsia="Times New Roman" w:hAnsi="Open Sans" w:cs="Times New Roman"/>
          <w:b/>
          <w:bCs/>
          <w:color w:val="3F3F3F"/>
          <w:sz w:val="27"/>
          <w:szCs w:val="27"/>
          <w:lang w:val="en"/>
        </w:rPr>
      </w:pPr>
      <w:r w:rsidRPr="00A806FE">
        <w:rPr>
          <w:rFonts w:ascii="Open Sans" w:eastAsia="Times New Roman" w:hAnsi="Open Sans" w:cs="Times New Roman"/>
          <w:b/>
          <w:bCs/>
          <w:color w:val="3F3F3F"/>
          <w:sz w:val="27"/>
          <w:szCs w:val="27"/>
          <w:lang w:val="en"/>
        </w:rPr>
        <w:t>Loan Amounts and Use</w:t>
      </w:r>
    </w:p>
    <w:p w:rsidR="00A806FE" w:rsidRPr="00A806FE" w:rsidRDefault="00A806FE" w:rsidP="00A806FE">
      <w:p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Substantial economic injury means the business is unable to meet its obligations and to pay its ordinary and necessary operating expenses. EIDLs provide the necessary working capital to help small businesses survive until normal operations resume after a disaster.</w:t>
      </w:r>
    </w:p>
    <w:p w:rsidR="00A806FE" w:rsidRPr="00A806FE" w:rsidRDefault="00A806FE" w:rsidP="00A806FE">
      <w:p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The SBA can provide up to $2 million to help meet financial obligations and operating expenses that could have been met had the disaster not occurred. Your loan amount will be based on your actual economic injury and your company's financial needs, regardless of whether the business suffered any property damage.</w:t>
      </w:r>
    </w:p>
    <w:p w:rsidR="00A806FE" w:rsidRPr="00A806FE" w:rsidRDefault="00A806FE" w:rsidP="00A806FE">
      <w:pPr>
        <w:shd w:val="clear" w:color="auto" w:fill="FFFFFF"/>
        <w:spacing w:before="100" w:beforeAutospacing="1" w:after="100" w:afterAutospacing="1" w:line="210" w:lineRule="atLeast"/>
        <w:outlineLvl w:val="2"/>
        <w:rPr>
          <w:rFonts w:ascii="Open Sans" w:eastAsia="Times New Roman" w:hAnsi="Open Sans" w:cs="Times New Roman"/>
          <w:b/>
          <w:bCs/>
          <w:color w:val="3F3F3F"/>
          <w:sz w:val="27"/>
          <w:szCs w:val="27"/>
          <w:lang w:val="en"/>
        </w:rPr>
      </w:pPr>
      <w:r w:rsidRPr="00A806FE">
        <w:rPr>
          <w:rFonts w:ascii="Open Sans" w:eastAsia="Times New Roman" w:hAnsi="Open Sans" w:cs="Times New Roman"/>
          <w:b/>
          <w:bCs/>
          <w:color w:val="3F3F3F"/>
          <w:sz w:val="27"/>
          <w:szCs w:val="27"/>
          <w:lang w:val="en"/>
        </w:rPr>
        <w:t>Eligibility and Terms</w:t>
      </w:r>
    </w:p>
    <w:p w:rsidR="00A806FE" w:rsidRPr="00A806FE" w:rsidRDefault="00A806FE" w:rsidP="00A806FE">
      <w:p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The interest rate on EIDLs will not exceed 4 percent per year. The term of these loans will not exceed 30 years. The repayment term will be determined by your ability to repay the loan.</w:t>
      </w:r>
    </w:p>
    <w:p w:rsidR="00A806FE" w:rsidRPr="00A806FE" w:rsidRDefault="00A806FE" w:rsidP="00A806FE">
      <w:p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EIDL assistance is available only to small businesses when SBA determines they are unable to obtain credit elsewhere.</w:t>
      </w:r>
    </w:p>
    <w:p w:rsidR="00A806FE" w:rsidRPr="00A806FE" w:rsidRDefault="00A806FE" w:rsidP="00A806FE">
      <w:pPr>
        <w:shd w:val="clear" w:color="auto" w:fill="FFFFFF"/>
        <w:spacing w:before="100" w:beforeAutospacing="1" w:after="100" w:afterAutospacing="1" w:line="210" w:lineRule="atLeast"/>
        <w:rPr>
          <w:rFonts w:ascii="Open Sans" w:eastAsia="Times New Roman" w:hAnsi="Open Sans" w:cs="Times New Roman"/>
          <w:color w:val="3F3F3F"/>
          <w:sz w:val="18"/>
          <w:szCs w:val="18"/>
          <w:lang w:val="en"/>
        </w:rPr>
      </w:pPr>
      <w:r w:rsidRPr="00A806FE">
        <w:rPr>
          <w:rFonts w:ascii="Open Sans" w:eastAsia="Times New Roman" w:hAnsi="Open Sans" w:cs="Times New Roman"/>
          <w:color w:val="3F3F3F"/>
          <w:sz w:val="18"/>
          <w:szCs w:val="18"/>
          <w:lang w:val="en"/>
        </w:rPr>
        <w:t>A business may qualify for both an EIDL and a physical disaster loan. The maximum combined loan amount is $2 million. </w:t>
      </w:r>
    </w:p>
    <w:p w:rsidR="00BA3D2B" w:rsidRDefault="00BA3D2B"/>
    <w:sectPr w:rsidR="00BA3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64713"/>
    <w:multiLevelType w:val="multilevel"/>
    <w:tmpl w:val="DE5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FE"/>
    <w:rsid w:val="00A806FE"/>
    <w:rsid w:val="00B37E0E"/>
    <w:rsid w:val="00BA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647A3-3B65-4F25-B02D-D81F4894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46915">
      <w:bodyDiv w:val="1"/>
      <w:marLeft w:val="0"/>
      <w:marRight w:val="0"/>
      <w:marTop w:val="0"/>
      <w:marBottom w:val="300"/>
      <w:divBdr>
        <w:top w:val="none" w:sz="0" w:space="0" w:color="auto"/>
        <w:left w:val="none" w:sz="0" w:space="0" w:color="auto"/>
        <w:bottom w:val="none" w:sz="0" w:space="0" w:color="auto"/>
        <w:right w:val="none" w:sz="0" w:space="0" w:color="auto"/>
      </w:divBdr>
      <w:divsChild>
        <w:div w:id="61679983">
          <w:marLeft w:val="0"/>
          <w:marRight w:val="0"/>
          <w:marTop w:val="0"/>
          <w:marBottom w:val="0"/>
          <w:divBdr>
            <w:top w:val="none" w:sz="0" w:space="0" w:color="auto"/>
            <w:left w:val="none" w:sz="0" w:space="0" w:color="auto"/>
            <w:bottom w:val="none" w:sz="0" w:space="0" w:color="auto"/>
            <w:right w:val="none" w:sz="0" w:space="0" w:color="auto"/>
          </w:divBdr>
          <w:divsChild>
            <w:div w:id="1328943008">
              <w:marLeft w:val="0"/>
              <w:marRight w:val="0"/>
              <w:marTop w:val="0"/>
              <w:marBottom w:val="0"/>
              <w:divBdr>
                <w:top w:val="none" w:sz="0" w:space="0" w:color="auto"/>
                <w:left w:val="none" w:sz="0" w:space="0" w:color="auto"/>
                <w:bottom w:val="none" w:sz="0" w:space="0" w:color="auto"/>
                <w:right w:val="none" w:sz="0" w:space="0" w:color="auto"/>
              </w:divBdr>
              <w:divsChild>
                <w:div w:id="1688823927">
                  <w:marLeft w:val="0"/>
                  <w:marRight w:val="0"/>
                  <w:marTop w:val="0"/>
                  <w:marBottom w:val="0"/>
                  <w:divBdr>
                    <w:top w:val="none" w:sz="0" w:space="0" w:color="auto"/>
                    <w:left w:val="none" w:sz="0" w:space="0" w:color="auto"/>
                    <w:bottom w:val="none" w:sz="0" w:space="0" w:color="auto"/>
                    <w:right w:val="none" w:sz="0" w:space="0" w:color="auto"/>
                  </w:divBdr>
                  <w:divsChild>
                    <w:div w:id="247008323">
                      <w:marLeft w:val="0"/>
                      <w:marRight w:val="0"/>
                      <w:marTop w:val="0"/>
                      <w:marBottom w:val="0"/>
                      <w:divBdr>
                        <w:top w:val="none" w:sz="0" w:space="0" w:color="auto"/>
                        <w:left w:val="none" w:sz="0" w:space="0" w:color="auto"/>
                        <w:bottom w:val="none" w:sz="0" w:space="0" w:color="auto"/>
                        <w:right w:val="none" w:sz="0" w:space="0" w:color="auto"/>
                      </w:divBdr>
                      <w:divsChild>
                        <w:div w:id="855270978">
                          <w:marLeft w:val="0"/>
                          <w:marRight w:val="0"/>
                          <w:marTop w:val="0"/>
                          <w:marBottom w:val="0"/>
                          <w:divBdr>
                            <w:top w:val="none" w:sz="0" w:space="0" w:color="auto"/>
                            <w:left w:val="none" w:sz="0" w:space="0" w:color="auto"/>
                            <w:bottom w:val="none" w:sz="0" w:space="0" w:color="auto"/>
                            <w:right w:val="none" w:sz="0" w:space="0" w:color="auto"/>
                          </w:divBdr>
                          <w:divsChild>
                            <w:div w:id="1764254728">
                              <w:marLeft w:val="0"/>
                              <w:marRight w:val="0"/>
                              <w:marTop w:val="0"/>
                              <w:marBottom w:val="0"/>
                              <w:divBdr>
                                <w:top w:val="none" w:sz="0" w:space="0" w:color="auto"/>
                                <w:left w:val="none" w:sz="0" w:space="0" w:color="auto"/>
                                <w:bottom w:val="none" w:sz="0" w:space="0" w:color="auto"/>
                                <w:right w:val="none" w:sz="0" w:space="0" w:color="auto"/>
                              </w:divBdr>
                              <w:divsChild>
                                <w:div w:id="1058237972">
                                  <w:marLeft w:val="0"/>
                                  <w:marRight w:val="0"/>
                                  <w:marTop w:val="0"/>
                                  <w:marBottom w:val="0"/>
                                  <w:divBdr>
                                    <w:top w:val="none" w:sz="0" w:space="0" w:color="auto"/>
                                    <w:left w:val="none" w:sz="0" w:space="0" w:color="auto"/>
                                    <w:bottom w:val="none" w:sz="0" w:space="0" w:color="auto"/>
                                    <w:right w:val="none" w:sz="0" w:space="0" w:color="auto"/>
                                  </w:divBdr>
                                </w:div>
                                <w:div w:id="685861117">
                                  <w:marLeft w:val="0"/>
                                  <w:marRight w:val="0"/>
                                  <w:marTop w:val="0"/>
                                  <w:marBottom w:val="0"/>
                                  <w:divBdr>
                                    <w:top w:val="none" w:sz="0" w:space="0" w:color="auto"/>
                                    <w:left w:val="none" w:sz="0" w:space="0" w:color="auto"/>
                                    <w:bottom w:val="none" w:sz="0" w:space="0" w:color="auto"/>
                                    <w:right w:val="none" w:sz="0" w:space="0" w:color="auto"/>
                                  </w:divBdr>
                                  <w:divsChild>
                                    <w:div w:id="1331368946">
                                      <w:marLeft w:val="0"/>
                                      <w:marRight w:val="0"/>
                                      <w:marTop w:val="0"/>
                                      <w:marBottom w:val="0"/>
                                      <w:divBdr>
                                        <w:top w:val="none" w:sz="0" w:space="0" w:color="auto"/>
                                        <w:left w:val="none" w:sz="0" w:space="0" w:color="auto"/>
                                        <w:bottom w:val="none" w:sz="0" w:space="0" w:color="auto"/>
                                        <w:right w:val="none" w:sz="0" w:space="0" w:color="auto"/>
                                      </w:divBdr>
                                      <w:divsChild>
                                        <w:div w:id="1125849328">
                                          <w:marLeft w:val="0"/>
                                          <w:marRight w:val="0"/>
                                          <w:marTop w:val="0"/>
                                          <w:marBottom w:val="0"/>
                                          <w:divBdr>
                                            <w:top w:val="none" w:sz="0" w:space="0" w:color="auto"/>
                                            <w:left w:val="none" w:sz="0" w:space="0" w:color="auto"/>
                                            <w:bottom w:val="none" w:sz="0" w:space="0" w:color="auto"/>
                                            <w:right w:val="none" w:sz="0" w:space="0" w:color="auto"/>
                                          </w:divBdr>
                                          <w:divsChild>
                                            <w:div w:id="367070264">
                                              <w:marLeft w:val="0"/>
                                              <w:marRight w:val="0"/>
                                              <w:marTop w:val="0"/>
                                              <w:marBottom w:val="0"/>
                                              <w:divBdr>
                                                <w:top w:val="none" w:sz="0" w:space="0" w:color="auto"/>
                                                <w:left w:val="none" w:sz="0" w:space="0" w:color="auto"/>
                                                <w:bottom w:val="none" w:sz="0" w:space="0" w:color="auto"/>
                                                <w:right w:val="none" w:sz="0" w:space="0" w:color="auto"/>
                                              </w:divBdr>
                                              <w:divsChild>
                                                <w:div w:id="1111631815">
                                                  <w:marLeft w:val="0"/>
                                                  <w:marRight w:val="0"/>
                                                  <w:marTop w:val="0"/>
                                                  <w:marBottom w:val="0"/>
                                                  <w:divBdr>
                                                    <w:top w:val="none" w:sz="0" w:space="0" w:color="auto"/>
                                                    <w:left w:val="none" w:sz="0" w:space="0" w:color="auto"/>
                                                    <w:bottom w:val="none" w:sz="0" w:space="0" w:color="auto"/>
                                                    <w:right w:val="none" w:sz="0" w:space="0" w:color="auto"/>
                                                  </w:divBdr>
                                                  <w:divsChild>
                                                    <w:div w:id="185021585">
                                                      <w:marLeft w:val="0"/>
                                                      <w:marRight w:val="0"/>
                                                      <w:marTop w:val="0"/>
                                                      <w:marBottom w:val="0"/>
                                                      <w:divBdr>
                                                        <w:top w:val="none" w:sz="0" w:space="0" w:color="auto"/>
                                                        <w:left w:val="none" w:sz="0" w:space="0" w:color="auto"/>
                                                        <w:bottom w:val="none" w:sz="0" w:space="0" w:color="auto"/>
                                                        <w:right w:val="none" w:sz="0" w:space="0" w:color="auto"/>
                                                      </w:divBdr>
                                                      <w:divsChild>
                                                        <w:div w:id="2049139169">
                                                          <w:marLeft w:val="0"/>
                                                          <w:marRight w:val="0"/>
                                                          <w:marTop w:val="0"/>
                                                          <w:marBottom w:val="0"/>
                                                          <w:divBdr>
                                                            <w:top w:val="none" w:sz="0" w:space="0" w:color="auto"/>
                                                            <w:left w:val="none" w:sz="0" w:space="0" w:color="auto"/>
                                                            <w:bottom w:val="none" w:sz="0" w:space="0" w:color="auto"/>
                                                            <w:right w:val="none" w:sz="0" w:space="0" w:color="auto"/>
                                                          </w:divBdr>
                                                          <w:divsChild>
                                                            <w:div w:id="1542326559">
                                                              <w:marLeft w:val="0"/>
                                                              <w:marRight w:val="0"/>
                                                              <w:marTop w:val="0"/>
                                                              <w:marBottom w:val="0"/>
                                                              <w:divBdr>
                                                                <w:top w:val="none" w:sz="0" w:space="0" w:color="auto"/>
                                                                <w:left w:val="none" w:sz="0" w:space="0" w:color="auto"/>
                                                                <w:bottom w:val="none" w:sz="0" w:space="0" w:color="auto"/>
                                                                <w:right w:val="none" w:sz="0" w:space="0" w:color="auto"/>
                                                              </w:divBdr>
                                                              <w:divsChild>
                                                                <w:div w:id="1160119275">
                                                                  <w:marLeft w:val="0"/>
                                                                  <w:marRight w:val="0"/>
                                                                  <w:marTop w:val="0"/>
                                                                  <w:marBottom w:val="0"/>
                                                                  <w:divBdr>
                                                                    <w:top w:val="none" w:sz="0" w:space="0" w:color="auto"/>
                                                                    <w:left w:val="none" w:sz="0" w:space="0" w:color="auto"/>
                                                                    <w:bottom w:val="none" w:sz="0" w:space="0" w:color="auto"/>
                                                                    <w:right w:val="none" w:sz="0" w:space="0" w:color="auto"/>
                                                                  </w:divBdr>
                                                                  <w:divsChild>
                                                                    <w:div w:id="1058237586">
                                                                      <w:marLeft w:val="0"/>
                                                                      <w:marRight w:val="0"/>
                                                                      <w:marTop w:val="0"/>
                                                                      <w:marBottom w:val="0"/>
                                                                      <w:divBdr>
                                                                        <w:top w:val="none" w:sz="0" w:space="0" w:color="auto"/>
                                                                        <w:left w:val="none" w:sz="0" w:space="0" w:color="auto"/>
                                                                        <w:bottom w:val="none" w:sz="0" w:space="0" w:color="auto"/>
                                                                        <w:right w:val="none" w:sz="0" w:space="0" w:color="auto"/>
                                                                      </w:divBdr>
                                                                      <w:divsChild>
                                                                        <w:div w:id="16917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a.gov/content/recent-disaster-declar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SBALocalAdmin</dc:creator>
  <cp:lastModifiedBy>Dianna Grobe</cp:lastModifiedBy>
  <cp:revision>2</cp:revision>
  <dcterms:created xsi:type="dcterms:W3CDTF">2017-10-13T15:01:00Z</dcterms:created>
  <dcterms:modified xsi:type="dcterms:W3CDTF">2017-10-13T15:01:00Z</dcterms:modified>
</cp:coreProperties>
</file>